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shd w:fill="999999" w:val="clear"/>
                <w:rtl w:val="0"/>
              </w:rPr>
              <w:t xml:space="preserve">El texto cumple con las reglas de ortografía y de redacción en todos sus apartados.</w:t>
            </w:r>
            <w:r w:rsidDel="00000000" w:rsidR="00000000" w:rsidRPr="00000000">
              <w:rPr>
                <w:shd w:fill="999999" w:val="clear"/>
                <w:rtl w:val="0"/>
              </w:rPr>
              <w:br w:type="textWrapping"/>
            </w:r>
            <w:r w:rsidDel="00000000" w:rsidR="00000000" w:rsidRPr="00000000">
              <w:rPr>
                <w:rFonts w:ascii="Calibri" w:cs="Calibri" w:eastAsia="Calibri" w:hAnsi="Calibri"/>
                <w:color w:val="000000"/>
                <w:shd w:fill="999999" w:val="clear"/>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0E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kqmMcdAVfpmMC30elZDV1NS/A==">CgMxLjA4AHIhMTVsWV9VY1NUUmwyd0NTd2IzWm1xeGItR3N0aG1NUFZX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