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5B3A29"/>
          <w:sz w:val="32"/>
          <w:szCs w:val="32"/>
        </w:rPr>
        <w:t xml:space="preserve">DULCE EZEIZA</w:t>
      </w:r>
    </w:p>
    <w:p>
      <w:pPr>
        <w:spacing w:after="100" w:before="200"/>
        <w:jc w:val="center"/>
      </w:pPr>
      <w:r>
        <w:rPr>
          <w:b/>
          <w:bCs/>
          <w:color w:val="B5651D"/>
          <w:sz w:val="48"/>
          <w:szCs w:val="48"/>
        </w:rPr>
        <w:t xml:space="preserve">Modelo de datos</w:t>
      </w:r>
    </w:p>
    <w:p>
      <w:pPr>
        <w:spacing w:after="600"/>
        <w:jc w:val="center"/>
      </w:pPr>
      <w:r>
        <w:rPr>
          <w:color w:val="555555"/>
          <w:sz w:val="24"/>
          <w:szCs w:val="24"/>
        </w:rPr>
        <w:t xml:space="preserve">Diagrama entidad-relación y diccionario de datos</w:t>
      </w:r>
    </w:p>
    <w:p>
      <w:pPr>
        <w:spacing w:after="60"/>
        <w:jc w:val="center"/>
      </w:pPr>
      <w:r>
        <w:rPr>
          <w:color w:val="555555"/>
          <w:sz w:val="20"/>
          <w:szCs w:val="20"/>
        </w:rPr>
        <w:t xml:space="preserve">Aplicaciones Interactivas 2026</w:t>
      </w:r>
    </w:p>
    <w:p>
      <w:pPr>
        <w:spacing w:after="60"/>
        <w:jc w:val="center"/>
      </w:pPr>
      <w:r>
        <w:rPr>
          <w:color w:val="555555"/>
          <w:sz w:val="20"/>
          <w:szCs w:val="20"/>
        </w:rPr>
        <w:t xml:space="preserve">Lucas Caceres, Federico, Tomas</w:t>
      </w:r>
    </w:p>
    <w:p>
      <w:pPr>
        <w:pageBreakBefore/>
      </w:pPr>
    </w:p>
    <w:p>
      <w:pPr>
        <w:pStyle w:val="Heading1"/>
        <w:pBdr>
          <w:bottom w:val="single" w:color="B5651D" w:sz="8" w:space="4"/>
        </w:pBdr>
        <w:spacing w:after="160" w:before="360"/>
      </w:pPr>
      <w:r>
        <w:t xml:space="preserve">1. Introducción</w:t>
      </w:r>
    </w:p>
    <w:p>
      <w:pPr>
        <w:spacing w:after="160"/>
      </w:pPr>
      <w:r>
        <w:t xml:space="preserve">La base de datos es relacional (SQL Server), administrada desde el backend a través de Sequelize como ORM. El proyecto no usa una capa de repository: cada model de Sequelize representa una tabla, y las relaciones entre todas las entidades se definen juntas en un único archivo (models/Associations.js) en vez de estar dispersas.</w:t>
      </w:r>
    </w:p>
    <w:p>
      <w:pPr>
        <w:spacing w:after="160"/>
      </w:pPr>
      <w:r>
        <w:t xml:space="preserve">Hay seis tablas: Usuarios, Categorias, Productos, ImagenesProducto, Consultas y Comercio. El script completo de creación vive en backend/database-scripts/crear-base.sql.</w:t>
      </w:r>
    </w:p>
    <w:p>
      <w:pPr>
        <w:pStyle w:val="Heading1"/>
        <w:pBdr>
          <w:bottom w:val="single" w:color="B5651D" w:sz="8" w:space="4"/>
        </w:pBdr>
        <w:spacing w:after="160" w:before="360"/>
      </w:pPr>
      <w:r>
        <w:t xml:space="preserve">2. Diagrama entidad-relación</w:t>
      </w:r>
    </w:p>
    <w:p>
      <w:pPr>
        <w:spacing w:after="60" w:before="120"/>
        <w:jc w:val="center"/>
      </w:pPr>
      <w:r>
        <w:drawing>
          <wp:inline distT="0" distB="0" distL="0" distR="0">
            <wp:extent cx="3619500" cy="7581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7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Diagrama entidad-relación de las seis tablas del proyecto.</w:t>
      </w:r>
    </w:p>
    <w:p>
      <w:pPr>
        <w:pStyle w:val="Heading1"/>
        <w:pBdr>
          <w:bottom w:val="single" w:color="B5651D" w:sz="8" w:space="4"/>
        </w:pBdr>
        <w:spacing w:after="160" w:before="360"/>
      </w:pPr>
      <w:r>
        <w:t xml:space="preserve">3. Diccionario de datos</w:t>
      </w:r>
    </w:p>
    <w:p>
      <w:pPr>
        <w:pStyle w:val="Heading2"/>
        <w:spacing w:after="120" w:before="280"/>
      </w:pPr>
      <w:r>
        <w:t xml:space="preserve">3.1 Usuarios</w:t>
      </w:r>
    </w:p>
    <w:p>
      <w:pPr>
        <w:spacing w:after="160"/>
      </w:pPr>
      <w:r>
        <w:t xml:space="preserve">Representa tanto a los administradores del comercio como a los clientes registrados: no hay una tabla separada por rol, sino una columna rol que distingue "admin" de "cliente". El registro público siempre fuerza rol = "cliente"; el o los administradores se cargan a mano en la base (ver Manual de instalación).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000"/>
        <w:gridCol w:w="1900"/>
        <w:gridCol w:w="3300"/>
      </w:tblGrid>
      <w:tr>
        <w:trPr>
          <w:cantSplit/>
          <w:tblHeader/>
        </w:trPr>
        <w:tc>
          <w:tcPr>
            <w:tcW w:type="dxa" w:w="2300"/>
            <w:shd w:fill="F2E6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Columna</w:t>
            </w:r>
          </w:p>
        </w:tc>
        <w:tc>
          <w:tcPr>
            <w:tcW w:type="dxa" w:w="2000"/>
            <w:shd w:fill="F2E6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Tipo</w:t>
            </w:r>
          </w:p>
        </w:tc>
        <w:tc>
          <w:tcPr>
            <w:tcW w:type="dxa" w:w="1900"/>
            <w:shd w:fill="F2E6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Restricciones</w:t>
            </w:r>
          </w:p>
        </w:tc>
        <w:tc>
          <w:tcPr>
            <w:tcW w:type="dxa" w:w="3300"/>
            <w:shd w:fill="F2E6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INT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PK, IDENTITY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Identificador autoincremental.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nombre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NVARCHAR(100)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NOT NULL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apellido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NVARCHAR(100)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NOT NULL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email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NVARCHAR(150)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NOT NULL, UNIQUE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 se permiten emails duplicados.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telefono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NVARCHAR(50)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opcional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password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NVARCHAR(255)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NOT NULL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Hash de bcrypt; nunca el texto plano.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fecha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DATETIME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default GETDATE()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Fecha de alta.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rol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NVARCHAR(20)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NOT NULL, default 'cliente'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"cliente" o "admin".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resetPasswordToken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NVARCHAR(255)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opcional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Código de 6 dígitos para recuperar contraseña.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resetPasswordExpira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DATETIME2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opcional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Vencimiento del código (15 minutos desde que se generó).</w:t>
            </w:r>
          </w:p>
        </w:tc>
      </w:tr>
    </w:tbl>
    <w:p>
      <w:pPr>
        <w:pStyle w:val="Heading2"/>
        <w:spacing w:after="120" w:before="280"/>
      </w:pPr>
      <w:r>
        <w:t xml:space="preserve">3.2 Categorias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000"/>
        <w:gridCol w:w="1900"/>
        <w:gridCol w:w="3300"/>
      </w:tblGrid>
      <w:tr>
        <w:trPr>
          <w:cantSplit/>
          <w:tblHeader/>
        </w:trPr>
        <w:tc>
          <w:tcPr>
            <w:tcW w:type="dxa" w:w="2300"/>
            <w:shd w:fill="F2E6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Columna</w:t>
            </w:r>
          </w:p>
        </w:tc>
        <w:tc>
          <w:tcPr>
            <w:tcW w:type="dxa" w:w="2000"/>
            <w:shd w:fill="F2E6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Tipo</w:t>
            </w:r>
          </w:p>
        </w:tc>
        <w:tc>
          <w:tcPr>
            <w:tcW w:type="dxa" w:w="1900"/>
            <w:shd w:fill="F2E6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Restricciones</w:t>
            </w:r>
          </w:p>
        </w:tc>
        <w:tc>
          <w:tcPr>
            <w:tcW w:type="dxa" w:w="3300"/>
            <w:shd w:fill="F2E6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INT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PK, IDENTITY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nombre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NVARCHAR(100)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NOT NULL, UNIQUE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 se permiten nombres repetidos.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descripcion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NVARCHAR(500)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opcional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activa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BIT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NOT NULL, default 1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 = activa, 0 = inactiva.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fecha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DATETIME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default GETDATE()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pStyle w:val="Heading2"/>
        <w:spacing w:after="120" w:before="280"/>
      </w:pPr>
      <w:r>
        <w:t xml:space="preserve">3.3 Productos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000"/>
        <w:gridCol w:w="1900"/>
        <w:gridCol w:w="3300"/>
      </w:tblGrid>
      <w:tr>
        <w:trPr>
          <w:cantSplit/>
          <w:tblHeader/>
        </w:trPr>
        <w:tc>
          <w:tcPr>
            <w:tcW w:type="dxa" w:w="2300"/>
            <w:shd w:fill="F2E6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Columna</w:t>
            </w:r>
          </w:p>
        </w:tc>
        <w:tc>
          <w:tcPr>
            <w:tcW w:type="dxa" w:w="2000"/>
            <w:shd w:fill="F2E6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Tipo</w:t>
            </w:r>
          </w:p>
        </w:tc>
        <w:tc>
          <w:tcPr>
            <w:tcW w:type="dxa" w:w="1900"/>
            <w:shd w:fill="F2E6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Restricciones</w:t>
            </w:r>
          </w:p>
        </w:tc>
        <w:tc>
          <w:tcPr>
            <w:tcW w:type="dxa" w:w="3300"/>
            <w:shd w:fill="F2E6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INT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PK, IDENTITY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nombre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NVARCHAR(150)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NOT NULL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descripcion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NVARCHAR(1000)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opcional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precio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DECIMAL(10,2)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NOT NULL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disponible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BIT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default 1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Stock/disponibilidad puntual.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activo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BIT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default 1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Visible o no en el catálogo público.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destacado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BIT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default 0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Para resaltarlo en el catálogo.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sinGluten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BIT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default 0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Apto celíacos.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categoriaId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INT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NOT NULL, FK → Categorias(id)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Todo producto pertenece a una categoría.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fecha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DATETIME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default GETDATE()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pStyle w:val="Heading2"/>
        <w:spacing w:after="120" w:before="280"/>
      </w:pPr>
      <w:r>
        <w:t xml:space="preserve">3.4 ImagenesProducto</w:t>
      </w:r>
    </w:p>
    <w:p>
      <w:pPr>
        <w:spacing w:after="160"/>
      </w:pPr>
      <w:r>
        <w:t xml:space="preserve">Una fila por foto de un producto (relación uno a muchos). Se opta por guardar URLs en vez de recibir archivos: el backend no procesa uploads, solo direcciones de imágenes ya alojadas en otro lado.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000"/>
        <w:gridCol w:w="1900"/>
        <w:gridCol w:w="3300"/>
      </w:tblGrid>
      <w:tr>
        <w:trPr>
          <w:cantSplit/>
          <w:tblHeader/>
        </w:trPr>
        <w:tc>
          <w:tcPr>
            <w:tcW w:type="dxa" w:w="2300"/>
            <w:shd w:fill="F2E6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Columna</w:t>
            </w:r>
          </w:p>
        </w:tc>
        <w:tc>
          <w:tcPr>
            <w:tcW w:type="dxa" w:w="2000"/>
            <w:shd w:fill="F2E6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Tipo</w:t>
            </w:r>
          </w:p>
        </w:tc>
        <w:tc>
          <w:tcPr>
            <w:tcW w:type="dxa" w:w="1900"/>
            <w:shd w:fill="F2E6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Restricciones</w:t>
            </w:r>
          </w:p>
        </w:tc>
        <w:tc>
          <w:tcPr>
            <w:tcW w:type="dxa" w:w="3300"/>
            <w:shd w:fill="F2E6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INT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PK, IDENTITY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productoId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INT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NOT NULL, FK → Productos(id)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Sin ON DELETE CASCADE (ver sección 4).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url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NVARCHAR(500)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NOT NULL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orden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INT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NOT NULL, default 0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Posición de la foto en la galería; orden 0 = portada.</w:t>
            </w:r>
          </w:p>
        </w:tc>
      </w:tr>
    </w:tbl>
    <w:p>
      <w:pPr>
        <w:pStyle w:val="Heading2"/>
        <w:spacing w:after="120" w:before="280"/>
      </w:pPr>
      <w:r>
        <w:t xml:space="preserve">3.5 Consultas</w:t>
      </w:r>
    </w:p>
    <w:p>
      <w:pPr>
        <w:spacing w:after="160"/>
      </w:pPr>
      <w:r>
        <w:t xml:space="preserve">Mensajes de contacto que un cliente logueado envía al comercio, opcionalmente asociados a un producto puntual.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000"/>
        <w:gridCol w:w="1900"/>
        <w:gridCol w:w="3300"/>
      </w:tblGrid>
      <w:tr>
        <w:trPr>
          <w:cantSplit/>
          <w:tblHeader/>
        </w:trPr>
        <w:tc>
          <w:tcPr>
            <w:tcW w:type="dxa" w:w="2300"/>
            <w:shd w:fill="F2E6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Columna</w:t>
            </w:r>
          </w:p>
        </w:tc>
        <w:tc>
          <w:tcPr>
            <w:tcW w:type="dxa" w:w="2000"/>
            <w:shd w:fill="F2E6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Tipo</w:t>
            </w:r>
          </w:p>
        </w:tc>
        <w:tc>
          <w:tcPr>
            <w:tcW w:type="dxa" w:w="1900"/>
            <w:shd w:fill="F2E6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Restricciones</w:t>
            </w:r>
          </w:p>
        </w:tc>
        <w:tc>
          <w:tcPr>
            <w:tcW w:type="dxa" w:w="3300"/>
            <w:shd w:fill="F2E6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INT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PK, IDENTITY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nombre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NVARCHAR(100)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NOT NULL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email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NVARCHAR(150)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NOT NULL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telefono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NVARCHAR(50)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opcional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asunto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NVARCHAR(200)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NOT NULL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mensaje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NVARCHAR(2000)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NOT NULL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estado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NVARCHAR(20)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NOT NULL, default 'pendiente'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pendiente / leida / respondida.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usuarioId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INT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NOT NULL, FK → Usuarios(id)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Quién la envió (siempre un cliente logueado).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productoId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INT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opcional, FK → Productos(id)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Si la consulta es sobre un producto puntual.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fecha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DATETIME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default GETDATE()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pStyle w:val="Heading2"/>
        <w:spacing w:after="120" w:before="280"/>
      </w:pPr>
      <w:r>
        <w:t xml:space="preserve">3.6 Comercio</w:t>
      </w:r>
    </w:p>
    <w:p>
      <w:pPr>
        <w:spacing w:after="160"/>
      </w:pPr>
      <w:r>
        <w:t xml:space="preserve">Información institucional del negocio. Es una tabla "singleton": el script de creación precarga una única fila, y la aplicación solo permite consultarla (GET) y editarla (PUT) — nunca crear una segunda fila ni borrarla.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000"/>
        <w:gridCol w:w="1900"/>
        <w:gridCol w:w="3300"/>
      </w:tblGrid>
      <w:tr>
        <w:trPr>
          <w:cantSplit/>
          <w:tblHeader/>
        </w:trPr>
        <w:tc>
          <w:tcPr>
            <w:tcW w:type="dxa" w:w="2300"/>
            <w:shd w:fill="F2E6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Columna</w:t>
            </w:r>
          </w:p>
        </w:tc>
        <w:tc>
          <w:tcPr>
            <w:tcW w:type="dxa" w:w="2000"/>
            <w:shd w:fill="F2E6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Tipo</w:t>
            </w:r>
          </w:p>
        </w:tc>
        <w:tc>
          <w:tcPr>
            <w:tcW w:type="dxa" w:w="1900"/>
            <w:shd w:fill="F2E6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Restricciones</w:t>
            </w:r>
          </w:p>
        </w:tc>
        <w:tc>
          <w:tcPr>
            <w:tcW w:type="dxa" w:w="3300"/>
            <w:shd w:fill="F2E6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INT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PK, IDENTITY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nombre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NVARCHAR(150)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NOT NULL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descripcion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NVARCHAR(1000)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opcional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direccion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NVARCHAR(300)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opcional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telefono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NVARCHAR(50)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opcional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instagram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NVARCHAR(150)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opcional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facebook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NVARCHAR(150)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opcional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whatsapp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NVARCHAR(50)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opcional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tiktok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NVARCHAR(150)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opcional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horarios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NVARCHAR(500)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opcional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160"/>
      </w:pPr>
      <w:r>
        <w:t xml:space="preserve">Se evaluó modelar las redes sociales como una tabla aparte (una fila por red social) para no "hardcodear" cada plataforma, pero se optó por columnas fijas: son pocas, cambian poco, y evitan un join extra solo para mostrar unos íconos. Una red social sin cargar queda simplemente en NULL, y el frontend decide si mostrar o no ese ícono.</w:t>
      </w:r>
    </w:p>
    <w:p>
      <w:pPr>
        <w:pStyle w:val="Heading1"/>
        <w:pBdr>
          <w:bottom w:val="single" w:color="B5651D" w:sz="8" w:space="4"/>
        </w:pBdr>
        <w:spacing w:after="160" w:before="360"/>
      </w:pPr>
      <w:r>
        <w:t xml:space="preserve">4. Relaciones e integridad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Categoria 1..N Producto: una categoría tiene muchos productos; un producto pertenece a una sola categoría (categoriaId obligatorio).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Producto 1..N ImagenProducto: un producto tiene muchas fotos; cada fila de ImagenesProducto pertenece a un solo producto.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Producto 1..N Consulta (opcional): una consulta puede referirse a un producto puntual, o no referirse a ninguno (productoId nulo).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Usuario 1..N Consulta: toda consulta pertenece a un usuario logueado que la envió.</w:t>
      </w:r>
    </w:p>
    <w:p>
      <w:pPr>
        <w:spacing w:after="160"/>
      </w:pPr>
      <w:r>
        <w:t xml:space="preserve">Ninguna foreign key del proyecto usa ON DELETE CASCADE a nivel de base de datos — es una decisión consistente en todo el esquema. En cambio, cada regla de integridad se resuelve explícitamente en el service correspondiente: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se puede borrar una categoría que todavía tiene productos asociados (se rechaza con un mensaje claro).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se puede borrar un producto que todavía tiene consultas asociadas.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 borrar un producto, sus imágenes SÍ se borran automáticamente (a diferencia de las consultas, una imagen no tiene sentido propio fuera de su producto): Producto.service.js borra primero todas las filas de ImagenesProducto asociadas, y recién después borra el producto.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4d03518540bd68ef22c5570f036334008113562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2026-09-18T13:54:31.400Z</dcterms:created>
  <dcterms:modified xsi:type="dcterms:W3CDTF">2026-09-18T13:54:31.400Z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