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16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FATEC POMPEIA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Introdução à Computação em Nuvem – ISW055 – SISTEMAS INTELIGENTES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P1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Relatório bimestral de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6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64748b"/>
          <w:sz w:val="22"/>
          <w:szCs w:val="22"/>
          <w:rtl w:val="0"/>
        </w:rPr>
        <w:t xml:space="preserve">Avaliação individual – 2026.2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Lucas Tetsuya Hiratuca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Prof. Allan Lincoln Rodrigues Siriani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Pompeia, 07/10/2026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293b"/>
          <w:sz w:val="32"/>
          <w:szCs w:val="32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 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  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  Quadro de entregas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  Atividades realizadas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4.1  Atividade 1 – Agenda telefônica em Flask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4.2  Atividade 2 – Catálogo de filmes – Tom Hanks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4.3  Atividade 3 – Desacoplando o login – microsserviço de autenticação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4.4  Atividade 4 – Controle de acesso por papel – RBAC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4.5  Atividade 5 – Logs e auditoria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4.6  Atividade 6 – Upload e perfil de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  Considerações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6  Declaração de autoria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293b"/>
          <w:sz w:val="28"/>
          <w:szCs w:val="28"/>
          <w:rtl w:val="0"/>
        </w:rPr>
        <w:t xml:space="preserve">1 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1"/>
          <w:szCs w:val="21"/>
          <w:rtl w:val="0"/>
        </w:rPr>
        <w:t xml:space="preserve">A disciplina ISW055 – Introdução à Computação em Nuvem, ministrada pelo Prof. Allan Lincoln Rodrigues Siriani na FATEC Pompeia no semestre letivo 2026.2, tem como propósito central proporcionar aos alunos a vivência prática e conceitual na construção, conteinerização e orquestração de aplicações modernas para ambientes em nuvem.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1"/>
          <w:szCs w:val="21"/>
          <w:rtl w:val="0"/>
        </w:rPr>
        <w:t xml:space="preserve">O projeto condutor ao longo deste primeiro bimestre foi o desenvolvimento e a evolução do Catálogo de Filmes de Tom Hanks. Partindo de uma arquitetura inicial monolítica, a solução progrediu de forma incremental para uma infraestrutura desacoplada em microsserviços conteinerizados com Docker. Foram incorporados requisitos reais de engenharia de software em nuvem: autenticação segura via JSON Web Tokens (JWT), controle de acesso baseado em papéis (RBAC), auditoria assíncrona de eventos com Redis Streams e persistência de mídia em object storage compatível com S3 (Garage S3).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1"/>
          <w:szCs w:val="21"/>
          <w:rtl w:val="0"/>
        </w:rPr>
        <w:t xml:space="preserve">Este relatório bimestral documenta minuciosamente as seis atividades propostas e entregues, detalhando as decisões de arquitetura adotadas, as dificuldades técnicas superadas, as evidências de entrega com carimbo temporal no Git e os resultados operacionais comprovados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293b"/>
          <w:sz w:val="28"/>
          <w:szCs w:val="28"/>
          <w:rtl w:val="0"/>
        </w:rPr>
        <w:t xml:space="preserve">2  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1"/>
          <w:szCs w:val="21"/>
          <w:rtl w:val="0"/>
        </w:rPr>
        <w:t xml:space="preserve">Todas as atividades foram desenvolvidas com controle de versão via Git em repositórios públicos no GitHub. As datas e os horários de entrega foram rigorosamente extraídos do histórico de commits (git log) e conferidos diretamente na interface web do GitHub, garantindo rastreabilidade e imutabilidade das comprovações.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1"/>
          <w:szCs w:val="21"/>
          <w:rtl w:val="0"/>
        </w:rPr>
        <w:t xml:space="preserve">O ambiente de execução e teste foi estruturado com Docker Desktop e Docker Compose, padronizando os contêineres entre os ambientes de desenvolvimento e produção. O deploy final em nuvem é gerenciado via Portainer no servidor disponibilizado pelo orientador (lucas-hiratuca-isw055.lapps.studio), exposto por túnel seguro Cloudflare. As imagens oficiais foram publicadas no Docker Hub no namespace lucashiratuca/.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br w:type="textWrapping"/>
        <w:t xml:space="preserve">Vale destacar, que o desenvolvimento da aplicação foi efetuado com auxílio do Antigravity, da Google, junto com os conhecimentos de arquitetura e boas práticas passadas na aula pelo professor, sendo aplicadas no desenvolvimento de cada entrega das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293b"/>
          <w:sz w:val="28"/>
          <w:szCs w:val="28"/>
          <w:rtl w:val="0"/>
        </w:rPr>
        <w:t xml:space="preserve">3  Quadro de entregas</w:t>
      </w:r>
      <w:r w:rsidDel="00000000" w:rsidR="00000000" w:rsidRPr="00000000">
        <w:rPr>
          <w:rtl w:val="0"/>
        </w:rPr>
      </w:r>
    </w:p>
    <w:tbl>
      <w:tblPr>
        <w:tblStyle w:val="Table1"/>
        <w:tblW w:w="9420.0" w:type="dxa"/>
        <w:jc w:val="center"/>
        <w:tblLayout w:type="fixed"/>
        <w:tblLook w:val="0400"/>
      </w:tblPr>
      <w:tblGrid>
        <w:gridCol w:w="1570"/>
        <w:gridCol w:w="1570"/>
        <w:gridCol w:w="1570"/>
        <w:gridCol w:w="1570"/>
        <w:gridCol w:w="1570"/>
        <w:gridCol w:w="1570"/>
        <w:tblGridChange w:id="0">
          <w:tblGrid>
            <w:gridCol w:w="1570"/>
            <w:gridCol w:w="1570"/>
            <w:gridCol w:w="1570"/>
            <w:gridCol w:w="1570"/>
            <w:gridCol w:w="1570"/>
            <w:gridCol w:w="1570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Data planejada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Data 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Agenda telefônica em Flask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Nivelamento em sala: sistema monolítico Flask + Jinja com persistência em MariaDB.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07/08/2026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07/08/2026 20:03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6534"/>
                <w:sz w:val="17"/>
                <w:szCs w:val="17"/>
                <w:rtl w:val="0"/>
              </w:rPr>
              <w:t xml:space="preserve">entregue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Catálogo de filmes – Tom Hanks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Consumo da API TMDB, persistência em MariaDB e segregação por usuário.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20/08/2026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20/08/2026 20:54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6534"/>
                <w:sz w:val="17"/>
                <w:szCs w:val="17"/>
                <w:rtl w:val="0"/>
              </w:rPr>
              <w:t xml:space="preserve">entregue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Desacoplando o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Login, cadastro e esqueci-minha-senha num serviço à parte na rede interna do Docker.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28/08/2026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27/08/2026 13:00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6534"/>
                <w:sz w:val="17"/>
                <w:szCs w:val="17"/>
                <w:rtl w:val="0"/>
              </w:rPr>
              <w:t xml:space="preserve">entregue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Controle de acesso – 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O campo role passa a decidir permissões reais no backend (403 para usuário comum).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04/09/2026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01/09/2026 00:48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6534"/>
                <w:sz w:val="17"/>
                <w:szCs w:val="17"/>
                <w:rtl w:val="0"/>
              </w:rPr>
              <w:t xml:space="preserve">entregue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Logs e 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Novo log-service com Redis registrando login, ações sensíveis e tentativas negadas.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25/09/2026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08/09/2026 12:57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6534"/>
                <w:sz w:val="17"/>
                <w:szCs w:val="17"/>
                <w:rtl w:val="0"/>
              </w:rPr>
              <w:t xml:space="preserve">entregue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Upload e perfil de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Página de perfil com avatar no Garage S3; só a referência fica no banco relacional.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02/10/2026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26/09/2026 15:11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6534"/>
                <w:sz w:val="17"/>
                <w:szCs w:val="17"/>
                <w:rtl w:val="0"/>
              </w:rPr>
              <w:t xml:space="preserve">entregue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293b"/>
          <w:sz w:val="28"/>
          <w:szCs w:val="28"/>
          <w:rtl w:val="0"/>
        </w:rPr>
        <w:t xml:space="preserve">4  Atividades realizadas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293b"/>
          <w:sz w:val="24"/>
          <w:szCs w:val="24"/>
          <w:rtl w:val="0"/>
        </w:rPr>
        <w:t xml:space="preserve">4.1  Atividade 1 – Agenda telefônica em Flask</w:t>
      </w:r>
      <w:r w:rsidDel="00000000" w:rsidR="00000000" w:rsidRPr="00000000">
        <w:rPr>
          <w:rtl w:val="0"/>
        </w:rPr>
      </w:r>
    </w:p>
    <w:tbl>
      <w:tblPr>
        <w:tblStyle w:val="Table2"/>
        <w:tblW w:w="9418.0" w:type="dxa"/>
        <w:jc w:val="center"/>
        <w:tblLayout w:type="fixed"/>
        <w:tblLook w:val="0400"/>
      </w:tblPr>
      <w:tblGrid>
        <w:gridCol w:w="4709"/>
        <w:gridCol w:w="4709"/>
        <w:tblGridChange w:id="0">
          <w:tblGrid>
            <w:gridCol w:w="4709"/>
            <w:gridCol w:w="4709"/>
          </w:tblGrid>
        </w:tblGridChange>
      </w:tblGrid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Nivelamento em sala: sistema monolítico Flask + Jinja com persistência em banco de dados MariaDB na nuvem.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Data planejada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07/08/2026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Data 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07/08/2026 20:03 - 17/08/2026 20:27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6534"/>
                <w:sz w:val="19"/>
                <w:szCs w:val="19"/>
                <w:rtl w:val="0"/>
              </w:rPr>
              <w:t xml:space="preserve">entregue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GitHub – commits 28230dc, 738ce73 e b1345e4 + README com menção ao professor + print do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https://github.com/LucasHiratuca/aula_01_cloud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O que foi feito.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1"/>
          <w:szCs w:val="21"/>
          <w:rtl w:val="0"/>
        </w:rPr>
        <w:t xml:space="preserve">Durante a aula inicial de nivelamento, foi desenvolvida uma aplicação web em Python utilizando o framework Flask e o motor de templates Jinja2. A aplicação implementa um CRUD de contatos telefônicos conectado a uma instância remota do MariaDB hospedada no IP 35.226.64.52.</w:t>
        <w:br w:type="textWrapping"/>
        <w:br w:type="textWrapping"/>
        <w:t xml:space="preserve">Como decisão técnica, a camada de acesso a dados foi isolada utilizando a biblioteca PyMySQL, configurando codificação utf8mb4 e tratamento de erros de conexão. Posteriormente, foi aplicado saneamento de credenciais via variáveis de ambiente com arquivo .gitignore (commit fa5f58d).</w:t>
        <w:br w:type="textWrapping"/>
        <w:br w:type="textWrapping"/>
        <w:t xml:space="preserve">Est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e projeto foi simples e rápido, com um desenvolvimento da API feita pelo ChatGPT, no notebook da faculdade inicialmente, e finalização da API junto com criação de um Front-End básico na minha máquina pessoal (Funcionalidade bônus). </w:t>
        <w:br w:type="textWrapping"/>
        <w:br w:type="textWrapping"/>
        <w:t xml:space="preserve">Vale destacar que os commits não seguem boas práticas por não reportar o que foi feito, mas em suma, o “b” e “a” abordam a demanda pedida em sala de aula, enquanto o “commit2” integra a aplicação usando Front-End e uma conexão com MariaDB (Usando .env).</w:t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9418.0" w:type="dxa"/>
        <w:jc w:val="center"/>
        <w:tblLayout w:type="fixed"/>
        <w:tblLook w:val="0400"/>
      </w:tblPr>
      <w:tblGrid>
        <w:gridCol w:w="9418"/>
        <w:tblGridChange w:id="0">
          <w:tblGrid>
            <w:gridCol w:w="9418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350.0" w:type="dxa"/>
              <w:left w:w="200.0" w:type="dxa"/>
              <w:bottom w:w="350.0" w:type="dxa"/>
              <w:right w:w="200.0" w:type="dxa"/>
            </w:tcMar>
          </w:tcPr>
          <w:p w:rsidR="00000000" w:rsidDel="00000000" w:rsidP="00000000" w:rsidRDefault="00000000" w:rsidRPr="00000000" w14:paraId="0000005B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</w:rPr>
              <w:drawing>
                <wp:inline distB="114300" distT="114300" distL="114300" distR="114300">
                  <wp:extent cx="5734050" cy="444500"/>
                  <wp:effectExtent b="0" l="0" r="0" t="0"/>
                  <wp:docPr id="1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280" w:before="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9"/>
          <w:szCs w:val="19"/>
          <w:rtl w:val="0"/>
        </w:rPr>
        <w:t xml:space="preserve">Figura 1: Atividade 1 – Evidência do commit </w:t>
      </w:r>
      <w:r w:rsidDel="00000000" w:rsidR="00000000" w:rsidRPr="00000000">
        <w:rPr>
          <w:rtl w:val="0"/>
        </w:rPr>
      </w:r>
    </w:p>
    <w:tbl>
      <w:tblPr>
        <w:tblStyle w:val="Table4"/>
        <w:tblW w:w="9418.0" w:type="dxa"/>
        <w:jc w:val="center"/>
        <w:tblLayout w:type="fixed"/>
        <w:tblLook w:val="0400"/>
      </w:tblPr>
      <w:tblGrid>
        <w:gridCol w:w="9418"/>
        <w:tblGridChange w:id="0">
          <w:tblGrid>
            <w:gridCol w:w="9418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350.0" w:type="dxa"/>
              <w:left w:w="200.0" w:type="dxa"/>
              <w:bottom w:w="350.0" w:type="dxa"/>
              <w:right w:w="200.0" w:type="dxa"/>
            </w:tcMar>
          </w:tcPr>
          <w:p w:rsidR="00000000" w:rsidDel="00000000" w:rsidP="00000000" w:rsidRDefault="00000000" w:rsidRPr="00000000" w14:paraId="0000005D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</w:rPr>
              <w:drawing>
                <wp:inline distB="114300" distT="114300" distL="114300" distR="114300">
                  <wp:extent cx="5734050" cy="2247900"/>
                  <wp:effectExtent b="0" l="0" r="0" t="0"/>
                  <wp:docPr id="7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24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280" w:before="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9"/>
          <w:szCs w:val="19"/>
          <w:rtl w:val="0"/>
        </w:rPr>
        <w:t xml:space="preserve">Figura 2: Atividade 1 – Montagem do body para o POST no Front-End </w:t>
      </w:r>
      <w:r w:rsidDel="00000000" w:rsidR="00000000" w:rsidRPr="00000000">
        <w:rPr>
          <w:rtl w:val="0"/>
        </w:rPr>
      </w:r>
    </w:p>
    <w:tbl>
      <w:tblPr>
        <w:tblStyle w:val="Table5"/>
        <w:tblW w:w="9418.0" w:type="dxa"/>
        <w:jc w:val="center"/>
        <w:tblLayout w:type="fixed"/>
        <w:tblLook w:val="0400"/>
      </w:tblPr>
      <w:tblGrid>
        <w:gridCol w:w="9418"/>
        <w:tblGridChange w:id="0">
          <w:tblGrid>
            <w:gridCol w:w="9418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350.0" w:type="dxa"/>
              <w:left w:w="200.0" w:type="dxa"/>
              <w:bottom w:w="350.0" w:type="dxa"/>
              <w:right w:w="200.0" w:type="dxa"/>
            </w:tcMar>
          </w:tcPr>
          <w:p w:rsidR="00000000" w:rsidDel="00000000" w:rsidP="00000000" w:rsidRDefault="00000000" w:rsidRPr="00000000" w14:paraId="0000005F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</w:rPr>
              <w:drawing>
                <wp:inline distB="114300" distT="114300" distL="114300" distR="114300">
                  <wp:extent cx="5734050" cy="53975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539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280" w:before="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9"/>
          <w:szCs w:val="19"/>
          <w:rtl w:val="0"/>
        </w:rPr>
        <w:t xml:space="preserve">Figura 3: Atividade 1 – Resultado do GET no Front-End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br w:type="textWrapping"/>
        <w:br w:type="textWrapping"/>
        <w:br w:type="textWrapping"/>
        <w:t xml:space="preserve">Dificuldades e como foram resolvidas.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1"/>
          <w:szCs w:val="21"/>
          <w:rtl w:val="0"/>
        </w:rPr>
        <w:t xml:space="preserve">A principal dificuldade inicial consistiu na latência e na autenticação segura contra a base de dados remota do laboratório. O problema foi sanado com o correto ajuste da porta MySQL e a parametrização das variáveis no ambiente local.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Um problema e confusão que aconteceu na parte de testes, foi tentar rodar essa aplicação com LiveServer, o que acabava em erro.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293b"/>
          <w:sz w:val="24"/>
          <w:szCs w:val="24"/>
          <w:rtl w:val="0"/>
        </w:rPr>
        <w:t xml:space="preserve">4.2  Atividade 2 – Catálogo de filmes – Tom Hanks</w:t>
      </w:r>
      <w:r w:rsidDel="00000000" w:rsidR="00000000" w:rsidRPr="00000000">
        <w:rPr>
          <w:rtl w:val="0"/>
        </w:rPr>
      </w:r>
    </w:p>
    <w:tbl>
      <w:tblPr>
        <w:tblStyle w:val="Table6"/>
        <w:tblW w:w="9418.0" w:type="dxa"/>
        <w:jc w:val="center"/>
        <w:tblLayout w:type="fixed"/>
        <w:tblLook w:val="0400"/>
      </w:tblPr>
      <w:tblGrid>
        <w:gridCol w:w="4709"/>
        <w:gridCol w:w="4709"/>
        <w:tblGridChange w:id="0">
          <w:tblGrid>
            <w:gridCol w:w="4709"/>
            <w:gridCol w:w="4709"/>
          </w:tblGrid>
        </w:tblGridChange>
      </w:tblGrid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Consumo da API TMDB, persistência em MariaDB e segregação por usuário com sistema de favoritos.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Data planejada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20/08/2026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Data 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20/08/2026 20:54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6534"/>
                <w:sz w:val="19"/>
                <w:szCs w:val="19"/>
                <w:rtl w:val="0"/>
              </w:rPr>
              <w:t xml:space="preserve">entregue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GitHub – commit 9a57391 + README com menção ao professor + print do catálogo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https://github.com/LucasHiratuca/Entrega-da-Atividade/commit/9a57391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O que foi feito.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1"/>
          <w:szCs w:val="21"/>
          <w:rtl w:val="0"/>
        </w:rPr>
        <w:t xml:space="preserve">Criação da aplicação principal do projeto utilizando Node.js, Express e EJS. A aplicação consome a API pública do The Movie Database (TMDB), filtrando e exibindo a filmografia completa do ator Tom Hanks com posters, títulos originais, sinopses e notas de avaliação.</w:t>
        <w:br w:type="textWrapping"/>
        <w:br w:type="textWrapping"/>
        <w:t xml:space="preserve">Foi construído o sistema de autenticação local com express-session e senhas criptografadas com bcryptjs. Adicionalmente, foi implementada a funcionalidade de filmes favoritos vinculada ao ID do usuário autenticado no MariaDB, segregando a lista de favoritos por sessão ativa.</w:t>
      </w:r>
      <w:r w:rsidDel="00000000" w:rsidR="00000000" w:rsidRPr="00000000">
        <w:rPr>
          <w:rtl w:val="0"/>
        </w:rPr>
      </w:r>
    </w:p>
    <w:tbl>
      <w:tblPr>
        <w:tblStyle w:val="Table7"/>
        <w:tblW w:w="9418.0" w:type="dxa"/>
        <w:jc w:val="center"/>
        <w:tblLayout w:type="fixed"/>
        <w:tblLook w:val="0400"/>
      </w:tblPr>
      <w:tblGrid>
        <w:gridCol w:w="9418"/>
        <w:tblGridChange w:id="0">
          <w:tblGrid>
            <w:gridCol w:w="9418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350.0" w:type="dxa"/>
              <w:left w:w="200.0" w:type="dxa"/>
              <w:bottom w:w="350.0" w:type="dxa"/>
              <w:right w:w="200.0" w:type="dxa"/>
            </w:tcMar>
          </w:tcPr>
          <w:p w:rsidR="00000000" w:rsidDel="00000000" w:rsidP="00000000" w:rsidRDefault="00000000" w:rsidRPr="00000000" w14:paraId="00000071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</w:rPr>
              <w:drawing>
                <wp:inline distB="114300" distT="114300" distL="114300" distR="114300">
                  <wp:extent cx="5734050" cy="355600"/>
                  <wp:effectExtent b="0" l="0" r="0" t="0"/>
                  <wp:docPr id="11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5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280" w:before="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9"/>
          <w:szCs w:val="19"/>
          <w:rtl w:val="0"/>
        </w:rPr>
        <w:t xml:space="preserve">Figura 4: Atividade 2 – Evidência do commit</w:t>
      </w:r>
      <w:r w:rsidDel="00000000" w:rsidR="00000000" w:rsidRPr="00000000">
        <w:rPr>
          <w:rtl w:val="0"/>
        </w:rPr>
      </w:r>
    </w:p>
    <w:tbl>
      <w:tblPr>
        <w:tblStyle w:val="Table8"/>
        <w:tblW w:w="9418.0" w:type="dxa"/>
        <w:jc w:val="center"/>
        <w:tblLayout w:type="fixed"/>
        <w:tblLook w:val="0400"/>
      </w:tblPr>
      <w:tblGrid>
        <w:gridCol w:w="9418"/>
        <w:tblGridChange w:id="0">
          <w:tblGrid>
            <w:gridCol w:w="9418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350.0" w:type="dxa"/>
              <w:left w:w="200.0" w:type="dxa"/>
              <w:bottom w:w="350.0" w:type="dxa"/>
              <w:right w:w="200.0" w:type="dxa"/>
            </w:tcMar>
          </w:tcPr>
          <w:p w:rsidR="00000000" w:rsidDel="00000000" w:rsidP="00000000" w:rsidRDefault="00000000" w:rsidRPr="00000000" w14:paraId="00000073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</w:rPr>
              <w:drawing>
                <wp:inline distB="114300" distT="114300" distL="114300" distR="114300">
                  <wp:extent cx="4953000" cy="577215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0" cy="5772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280" w:before="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9"/>
          <w:szCs w:val="19"/>
          <w:rtl w:val="0"/>
        </w:rPr>
        <w:t xml:space="preserve">Figura 5: Atividade 2 – Tela de login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9"/>
        <w:tblW w:w="9418.0" w:type="dxa"/>
        <w:jc w:val="center"/>
        <w:tblLayout w:type="fixed"/>
        <w:tblLook w:val="0400"/>
      </w:tblPr>
      <w:tblGrid>
        <w:gridCol w:w="9418"/>
        <w:tblGridChange w:id="0">
          <w:tblGrid>
            <w:gridCol w:w="9418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350.0" w:type="dxa"/>
              <w:left w:w="200.0" w:type="dxa"/>
              <w:bottom w:w="350.0" w:type="dxa"/>
              <w:right w:w="200.0" w:type="dxa"/>
            </w:tcMar>
          </w:tcPr>
          <w:p w:rsidR="00000000" w:rsidDel="00000000" w:rsidP="00000000" w:rsidRDefault="00000000" w:rsidRPr="00000000" w14:paraId="00000075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</w:rPr>
              <w:drawing>
                <wp:inline distB="114300" distT="114300" distL="114300" distR="114300">
                  <wp:extent cx="5305425" cy="6391275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5425" cy="6391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280" w:before="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9"/>
          <w:szCs w:val="19"/>
          <w:rtl w:val="0"/>
        </w:rPr>
        <w:t xml:space="preserve">Figura 6: Atividade 2 – Validação na tela de login</w:t>
        <w:br w:type="textWrapping"/>
        <w:br w:type="textWrapping"/>
      </w:r>
      <w:r w:rsidDel="00000000" w:rsidR="00000000" w:rsidRPr="00000000">
        <w:rPr>
          <w:rtl w:val="0"/>
        </w:rPr>
      </w:r>
    </w:p>
    <w:sdt>
      <w:sdtPr>
        <w:lock w:val="contentLocked"/>
        <w:id w:val="1666651470"/>
        <w:tag w:val="goog_rdk_0"/>
      </w:sdtPr>
      <w:sdtContent>
        <w:tbl>
          <w:tblPr>
            <w:tblStyle w:val="Table10"/>
            <w:tblW w:w="9418.0" w:type="dxa"/>
            <w:jc w:val="center"/>
            <w:tblLayout w:type="fixed"/>
            <w:tblLook w:val="0400"/>
          </w:tblPr>
          <w:tblGrid>
            <w:gridCol w:w="9418"/>
            <w:tblGridChange w:id="0">
              <w:tblGrid>
                <w:gridCol w:w="941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1f5f9" w:val="clear"/>
                <w:tcMar>
                  <w:top w:w="350.0" w:type="dxa"/>
                  <w:left w:w="200.0" w:type="dxa"/>
                  <w:bottom w:w="350.0" w:type="dxa"/>
                  <w:right w:w="200.0" w:type="dxa"/>
                </w:tcMar>
              </w:tcPr>
              <w:p w:rsidR="00000000" w:rsidDel="00000000" w:rsidP="00000000" w:rsidRDefault="00000000" w:rsidRPr="00000000" w14:paraId="00000077">
                <w:pPr>
                  <w:spacing w:after="80" w:lineRule="auto"/>
                  <w:jc w:val="center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64748b"/>
                  </w:rPr>
                  <w:drawing>
                    <wp:inline distB="114300" distT="114300" distL="114300" distR="114300">
                      <wp:extent cx="5734050" cy="2463800"/>
                      <wp:effectExtent b="0" l="0" r="0" t="0"/>
                      <wp:docPr id="22" name="image2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7.png"/>
                              <pic:cNvPicPr preferRelativeResize="0"/>
                            </pic:nvPicPr>
                            <pic:blipFill>
                              <a:blip r:embed="rId1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34050" cy="2463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8">
      <w:pPr>
        <w:spacing w:after="280" w:before="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9"/>
          <w:szCs w:val="19"/>
          <w:rtl w:val="0"/>
        </w:rPr>
        <w:t xml:space="preserve">Figura 7: Atividade 2 – API pegando os filmes</w:t>
        <w:br w:type="textWrapping"/>
        <w:br w:type="textWrapping"/>
      </w:r>
      <w:r w:rsidDel="00000000" w:rsidR="00000000" w:rsidRPr="00000000">
        <w:rPr>
          <w:rtl w:val="0"/>
        </w:rPr>
      </w:r>
    </w:p>
    <w:sdt>
      <w:sdtPr>
        <w:lock w:val="contentLocked"/>
        <w:id w:val="1645578204"/>
        <w:tag w:val="goog_rdk_1"/>
      </w:sdtPr>
      <w:sdtContent>
        <w:tbl>
          <w:tblPr>
            <w:tblStyle w:val="Table11"/>
            <w:tblW w:w="9418.0" w:type="dxa"/>
            <w:jc w:val="center"/>
            <w:tblLayout w:type="fixed"/>
            <w:tblLook w:val="0400"/>
          </w:tblPr>
          <w:tblGrid>
            <w:gridCol w:w="9418"/>
            <w:tblGridChange w:id="0">
              <w:tblGrid>
                <w:gridCol w:w="941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1f5f9" w:val="clear"/>
                <w:tcMar>
                  <w:top w:w="350.0" w:type="dxa"/>
                  <w:left w:w="200.0" w:type="dxa"/>
                  <w:bottom w:w="350.0" w:type="dxa"/>
                  <w:right w:w="200.0" w:type="dxa"/>
                </w:tcMar>
              </w:tcPr>
              <w:p w:rsidR="00000000" w:rsidDel="00000000" w:rsidP="00000000" w:rsidRDefault="00000000" w:rsidRPr="00000000" w14:paraId="00000079">
                <w:pPr>
                  <w:spacing w:after="80" w:lineRule="auto"/>
                  <w:jc w:val="center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64748b"/>
                  </w:rPr>
                  <w:drawing>
                    <wp:inline distB="114300" distT="114300" distL="114300" distR="114300">
                      <wp:extent cx="5734050" cy="1790700"/>
                      <wp:effectExtent b="0" l="0" r="0" t="0"/>
                      <wp:docPr id="28" name="image2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34050" cy="1790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A">
      <w:pPr>
        <w:spacing w:after="280" w:before="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9"/>
          <w:szCs w:val="19"/>
          <w:rtl w:val="0"/>
        </w:rPr>
        <w:t xml:space="preserve">Figura 8: Atividade 2 – Tabela usuarios</w:t>
        <w:br w:type="textWrapping"/>
        <w:br w:type="textWrapping"/>
      </w:r>
      <w:r w:rsidDel="00000000" w:rsidR="00000000" w:rsidRPr="00000000">
        <w:rPr>
          <w:rtl w:val="0"/>
        </w:rPr>
      </w:r>
    </w:p>
    <w:sdt>
      <w:sdtPr>
        <w:lock w:val="contentLocked"/>
        <w:id w:val="-1382478462"/>
        <w:tag w:val="goog_rdk_2"/>
      </w:sdtPr>
      <w:sdtContent>
        <w:tbl>
          <w:tblPr>
            <w:tblStyle w:val="Table12"/>
            <w:tblW w:w="9418.0" w:type="dxa"/>
            <w:jc w:val="center"/>
            <w:tblLayout w:type="fixed"/>
            <w:tblLook w:val="0400"/>
          </w:tblPr>
          <w:tblGrid>
            <w:gridCol w:w="9418"/>
            <w:tblGridChange w:id="0">
              <w:tblGrid>
                <w:gridCol w:w="941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1f5f9" w:val="clear"/>
                <w:tcMar>
                  <w:top w:w="350.0" w:type="dxa"/>
                  <w:left w:w="200.0" w:type="dxa"/>
                  <w:bottom w:w="350.0" w:type="dxa"/>
                  <w:right w:w="200.0" w:type="dxa"/>
                </w:tcMar>
              </w:tcPr>
              <w:p w:rsidR="00000000" w:rsidDel="00000000" w:rsidP="00000000" w:rsidRDefault="00000000" w:rsidRPr="00000000" w14:paraId="0000007B">
                <w:pPr>
                  <w:spacing w:after="80" w:lineRule="auto"/>
                  <w:jc w:val="center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64748b"/>
                  </w:rPr>
                  <w:drawing>
                    <wp:inline distB="114300" distT="114300" distL="114300" distR="114300">
                      <wp:extent cx="5734050" cy="1816100"/>
                      <wp:effectExtent b="0" l="0" r="0" t="0"/>
                      <wp:docPr id="3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34050" cy="1816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C">
      <w:pPr>
        <w:spacing w:after="280" w:before="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9"/>
          <w:szCs w:val="19"/>
          <w:rtl w:val="0"/>
        </w:rPr>
        <w:t xml:space="preserve">Figura 9: Atividade 2 – Tabela comentarios</w:t>
        <w:br w:type="textWrapping"/>
        <w:br w:type="textWrapping"/>
      </w:r>
      <w:r w:rsidDel="00000000" w:rsidR="00000000" w:rsidRPr="00000000">
        <w:rPr>
          <w:rtl w:val="0"/>
        </w:rPr>
      </w:r>
    </w:p>
    <w:sdt>
      <w:sdtPr>
        <w:lock w:val="contentLocked"/>
        <w:id w:val="-350746970"/>
        <w:tag w:val="goog_rdk_3"/>
      </w:sdtPr>
      <w:sdtContent>
        <w:tbl>
          <w:tblPr>
            <w:tblStyle w:val="Table13"/>
            <w:tblW w:w="9418.0" w:type="dxa"/>
            <w:jc w:val="center"/>
            <w:tblLayout w:type="fixed"/>
            <w:tblLook w:val="0400"/>
          </w:tblPr>
          <w:tblGrid>
            <w:gridCol w:w="9418"/>
            <w:tblGridChange w:id="0">
              <w:tblGrid>
                <w:gridCol w:w="941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1f5f9" w:val="clear"/>
                <w:tcMar>
                  <w:top w:w="350.0" w:type="dxa"/>
                  <w:left w:w="200.0" w:type="dxa"/>
                  <w:bottom w:w="350.0" w:type="dxa"/>
                  <w:right w:w="200.0" w:type="dxa"/>
                </w:tcMar>
              </w:tcPr>
              <w:p w:rsidR="00000000" w:rsidDel="00000000" w:rsidP="00000000" w:rsidRDefault="00000000" w:rsidRPr="00000000" w14:paraId="0000007D">
                <w:pPr>
                  <w:spacing w:after="80" w:lineRule="auto"/>
                  <w:jc w:val="center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64748b"/>
                  </w:rPr>
                  <w:drawing>
                    <wp:inline distB="114300" distT="114300" distL="114300" distR="114300">
                      <wp:extent cx="5734050" cy="1651000"/>
                      <wp:effectExtent b="0" l="0" r="0" t="0"/>
                      <wp:docPr id="6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34050" cy="1651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E">
      <w:pPr>
        <w:spacing w:after="280" w:before="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9"/>
          <w:szCs w:val="19"/>
          <w:rtl w:val="0"/>
        </w:rPr>
        <w:t xml:space="preserve">Figura 10: Atividade 2 – Tabela favoritos</w:t>
        <w:br w:type="textWrapping"/>
        <w:br w:type="textWrapping"/>
      </w:r>
      <w:r w:rsidDel="00000000" w:rsidR="00000000" w:rsidRPr="00000000">
        <w:rPr>
          <w:rtl w:val="0"/>
        </w:rPr>
      </w:r>
    </w:p>
    <w:sdt>
      <w:sdtPr>
        <w:lock w:val="contentLocked"/>
        <w:id w:val="970005148"/>
        <w:tag w:val="goog_rdk_4"/>
      </w:sdtPr>
      <w:sdtContent>
        <w:tbl>
          <w:tblPr>
            <w:tblStyle w:val="Table14"/>
            <w:tblW w:w="9418.0" w:type="dxa"/>
            <w:jc w:val="center"/>
            <w:tblLayout w:type="fixed"/>
            <w:tblLook w:val="0400"/>
          </w:tblPr>
          <w:tblGrid>
            <w:gridCol w:w="9418"/>
            <w:tblGridChange w:id="0">
              <w:tblGrid>
                <w:gridCol w:w="941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1f5f9" w:val="clear"/>
                <w:tcMar>
                  <w:top w:w="350.0" w:type="dxa"/>
                  <w:left w:w="200.0" w:type="dxa"/>
                  <w:bottom w:w="350.0" w:type="dxa"/>
                  <w:right w:w="200.0" w:type="dxa"/>
                </w:tcMar>
              </w:tcPr>
              <w:p w:rsidR="00000000" w:rsidDel="00000000" w:rsidP="00000000" w:rsidRDefault="00000000" w:rsidRPr="00000000" w14:paraId="0000007F">
                <w:pPr>
                  <w:spacing w:after="80" w:lineRule="auto"/>
                  <w:jc w:val="center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64748b"/>
                  </w:rPr>
                  <w:drawing>
                    <wp:inline distB="114300" distT="114300" distL="114300" distR="114300">
                      <wp:extent cx="5734050" cy="2336800"/>
                      <wp:effectExtent b="0" l="0" r="0" t="0"/>
                      <wp:docPr id="16" name="image2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.png"/>
                              <pic:cNvPicPr preferRelativeResize="0"/>
                            </pic:nvPicPr>
                            <pic:blipFill>
                              <a:blip r:embed="rId1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34050" cy="2336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0">
      <w:pPr>
        <w:spacing w:after="280" w:before="80" w:lineRule="auto"/>
        <w:jc w:val="center"/>
        <w:rPr>
          <w:rFonts w:ascii="Times New Roman" w:cs="Times New Roman" w:eastAsia="Times New Roman" w:hAnsi="Times New Roman"/>
          <w:i w:val="1"/>
          <w:iCs w:val="1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9"/>
          <w:szCs w:val="19"/>
          <w:rtl w:val="0"/>
        </w:rPr>
        <w:t xml:space="preserve">Figura 11: Atividade 2 – Favoritos do usuário</w:t>
      </w:r>
    </w:p>
    <w:p w:rsidR="00000000" w:rsidDel="00000000" w:rsidP="00000000" w:rsidRDefault="00000000" w:rsidRPr="00000000" w14:paraId="00000081">
      <w:pPr>
        <w:spacing w:after="280" w:before="80" w:lineRule="auto"/>
        <w:jc w:val="center"/>
        <w:rPr>
          <w:rFonts w:ascii="Times New Roman" w:cs="Times New Roman" w:eastAsia="Times New Roman" w:hAnsi="Times New Roman"/>
          <w:i w:val="1"/>
          <w:i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Dificuldades e como foram resolvidas.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1"/>
          <w:szCs w:val="21"/>
          <w:rtl w:val="0"/>
        </w:rPr>
        <w:t xml:space="preserve">A API do TMDB utiliza paginação de resultados. Para garantir que toda a filmografia do ator fosse renderizada sem cortes, foi implementada uma rotina assíncrona que itera sobre as páginas da API e consolida os dados em memória antes da renderização EJS.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293b"/>
          <w:sz w:val="24"/>
          <w:szCs w:val="24"/>
          <w:rtl w:val="0"/>
        </w:rPr>
        <w:t xml:space="preserve">4.3  Atividade 3 – Desacoplando o login – microsserviço de autenticação</w:t>
      </w:r>
      <w:r w:rsidDel="00000000" w:rsidR="00000000" w:rsidRPr="00000000">
        <w:rPr>
          <w:rtl w:val="0"/>
        </w:rPr>
      </w:r>
    </w:p>
    <w:tbl>
      <w:tblPr>
        <w:tblStyle w:val="Table15"/>
        <w:tblW w:w="9418.0" w:type="dxa"/>
        <w:jc w:val="center"/>
        <w:tblLayout w:type="fixed"/>
        <w:tblLook w:val="0400"/>
      </w:tblPr>
      <w:tblGrid>
        <w:gridCol w:w="4709"/>
        <w:gridCol w:w="4709"/>
        <w:tblGridChange w:id="0">
          <w:tblGrid>
            <w:gridCol w:w="4709"/>
            <w:gridCol w:w="4709"/>
          </w:tblGrid>
        </w:tblGridChange>
      </w:tblGrid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Login, cadastro e esqueci-minha-senha num serviço à parte na rede interna do Docker.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Data planejada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28/08/2026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Data 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27/08/2026 13:00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6534"/>
                <w:sz w:val="19"/>
                <w:szCs w:val="19"/>
                <w:rtl w:val="0"/>
              </w:rPr>
              <w:t xml:space="preserve">entregue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GitHub – commit 320028a + docker-compose.yml + print do login funcionando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https://github.com/LucasHiratuca/Entrega-da-Atividade/commit/320028a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O que foi feito.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1"/>
          <w:szCs w:val="21"/>
          <w:rtl w:val="0"/>
        </w:rPr>
        <w:t xml:space="preserve">A arquitetura do sistema foi refatorada sob o padrão Backend-for-Frontend (BFF). O serviço de catálogo (catalogo-service) foi mantido como único ponto de entrada público (porta 8217), enquanto toda a lógica de identidade, login, cadastro de novos usuários e redefinição de senha foi isolada no novo auth-service (porta interna 4000).</w:t>
        <w:br w:type="textWrapping"/>
        <w:br w:type="textWrapping"/>
        <w:t xml:space="preserve">O auth-service não expõe portas ao host, comunicando-se exclusivamente pela rede interna Docker app_network. Ele emite tokens JWT criptograficamente assinados contendo a identidade do usuário. O fluxo de recuperação de senha foi integrado ao serviço SMTP do Mailtrap para despacho de e-mails com tokens descartáveis com expiração de 30 minutos.</w:t>
      </w:r>
      <w:r w:rsidDel="00000000" w:rsidR="00000000" w:rsidRPr="00000000">
        <w:rPr>
          <w:rtl w:val="0"/>
        </w:rPr>
      </w:r>
    </w:p>
    <w:tbl>
      <w:tblPr>
        <w:tblStyle w:val="Table16"/>
        <w:tblW w:w="9418.0" w:type="dxa"/>
        <w:jc w:val="center"/>
        <w:tblLayout w:type="fixed"/>
        <w:tblLook w:val="0400"/>
      </w:tblPr>
      <w:tblGrid>
        <w:gridCol w:w="9418"/>
        <w:tblGridChange w:id="0">
          <w:tblGrid>
            <w:gridCol w:w="9418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350.0" w:type="dxa"/>
              <w:left w:w="200.0" w:type="dxa"/>
              <w:bottom w:w="350.0" w:type="dxa"/>
              <w:right w:w="200.0" w:type="dxa"/>
            </w:tcMar>
          </w:tcPr>
          <w:p w:rsidR="00000000" w:rsidDel="00000000" w:rsidP="00000000" w:rsidRDefault="00000000" w:rsidRPr="00000000" w14:paraId="00000093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</w:rPr>
              <w:drawing>
                <wp:inline distB="114300" distT="114300" distL="114300" distR="114300">
                  <wp:extent cx="3857625" cy="361950"/>
                  <wp:effectExtent b="0" l="0" r="0" t="0"/>
                  <wp:docPr id="19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7625" cy="36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280" w:before="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9"/>
          <w:szCs w:val="19"/>
          <w:rtl w:val="0"/>
        </w:rPr>
        <w:t xml:space="preserve">Figura 12: Atividade 3 – Entrega do Commit</w:t>
      </w:r>
      <w:r w:rsidDel="00000000" w:rsidR="00000000" w:rsidRPr="00000000">
        <w:rPr>
          <w:rtl w:val="0"/>
        </w:rPr>
      </w:r>
    </w:p>
    <w:tbl>
      <w:tblPr>
        <w:tblStyle w:val="Table17"/>
        <w:tblW w:w="9418.0" w:type="dxa"/>
        <w:jc w:val="center"/>
        <w:tblLayout w:type="fixed"/>
        <w:tblLook w:val="0400"/>
      </w:tblPr>
      <w:tblGrid>
        <w:gridCol w:w="9418"/>
        <w:tblGridChange w:id="0">
          <w:tblGrid>
            <w:gridCol w:w="9418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350.0" w:type="dxa"/>
              <w:left w:w="200.0" w:type="dxa"/>
              <w:bottom w:w="350.0" w:type="dxa"/>
              <w:right w:w="200.0" w:type="dxa"/>
            </w:tcMar>
          </w:tcPr>
          <w:p w:rsidR="00000000" w:rsidDel="00000000" w:rsidP="00000000" w:rsidRDefault="00000000" w:rsidRPr="00000000" w14:paraId="00000095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</w:rPr>
              <w:drawing>
                <wp:inline distB="114300" distT="114300" distL="114300" distR="114300">
                  <wp:extent cx="5734050" cy="4216400"/>
                  <wp:effectExtent b="0" l="0" r="0" t="0"/>
                  <wp:docPr id="26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421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280" w:before="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9"/>
          <w:szCs w:val="19"/>
          <w:rtl w:val="0"/>
        </w:rPr>
        <w:t xml:space="preserve">Figura 13: Atividade 3 – Desacoplamento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18"/>
        <w:tblW w:w="9418.0" w:type="dxa"/>
        <w:jc w:val="center"/>
        <w:tblLayout w:type="fixed"/>
        <w:tblLook w:val="0400"/>
      </w:tblPr>
      <w:tblGrid>
        <w:gridCol w:w="9418"/>
        <w:tblGridChange w:id="0">
          <w:tblGrid>
            <w:gridCol w:w="9418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350.0" w:type="dxa"/>
              <w:left w:w="200.0" w:type="dxa"/>
              <w:bottom w:w="350.0" w:type="dxa"/>
              <w:right w:w="200.0" w:type="dxa"/>
            </w:tcMar>
          </w:tcPr>
          <w:p w:rsidR="00000000" w:rsidDel="00000000" w:rsidP="00000000" w:rsidRDefault="00000000" w:rsidRPr="00000000" w14:paraId="00000097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</w:rPr>
              <w:drawing>
                <wp:inline distB="114300" distT="114300" distL="114300" distR="114300">
                  <wp:extent cx="5734050" cy="711200"/>
                  <wp:effectExtent b="0" l="0" r="0" t="0"/>
                  <wp:docPr id="29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71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280" w:before="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9"/>
          <w:szCs w:val="19"/>
          <w:rtl w:val="0"/>
        </w:rPr>
        <w:t xml:space="preserve">Figura 14: Atividade 3 – Admin</w:t>
        <w:br w:type="textWrapping"/>
        <w:br w:type="textWrapping"/>
      </w:r>
      <w:r w:rsidDel="00000000" w:rsidR="00000000" w:rsidRPr="00000000">
        <w:rPr>
          <w:rtl w:val="0"/>
        </w:rPr>
      </w:r>
    </w:p>
    <w:sdt>
      <w:sdtPr>
        <w:lock w:val="contentLocked"/>
        <w:id w:val="1725463288"/>
        <w:tag w:val="goog_rdk_5"/>
      </w:sdtPr>
      <w:sdtContent>
        <w:tbl>
          <w:tblPr>
            <w:tblStyle w:val="Table19"/>
            <w:tblW w:w="9418.0" w:type="dxa"/>
            <w:jc w:val="center"/>
            <w:tblLayout w:type="fixed"/>
            <w:tblLook w:val="0400"/>
          </w:tblPr>
          <w:tblGrid>
            <w:gridCol w:w="9418"/>
            <w:tblGridChange w:id="0">
              <w:tblGrid>
                <w:gridCol w:w="941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1f5f9" w:val="clear"/>
                <w:tcMar>
                  <w:top w:w="350.0" w:type="dxa"/>
                  <w:left w:w="200.0" w:type="dxa"/>
                  <w:bottom w:w="350.0" w:type="dxa"/>
                  <w:right w:w="200.0" w:type="dxa"/>
                </w:tcMar>
              </w:tcPr>
              <w:p w:rsidR="00000000" w:rsidDel="00000000" w:rsidP="00000000" w:rsidRDefault="00000000" w:rsidRPr="00000000" w14:paraId="00000099">
                <w:pPr>
                  <w:spacing w:after="80" w:lineRule="auto"/>
                  <w:jc w:val="center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64748b"/>
                  </w:rPr>
                  <w:drawing>
                    <wp:inline distB="114300" distT="114300" distL="114300" distR="114300">
                      <wp:extent cx="5734050" cy="533400"/>
                      <wp:effectExtent b="0" l="0" r="0" t="0"/>
                      <wp:docPr id="15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2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34050" cy="533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A">
      <w:pPr>
        <w:spacing w:after="280" w:before="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9"/>
          <w:szCs w:val="19"/>
          <w:rtl w:val="0"/>
        </w:rPr>
        <w:t xml:space="preserve">Figura 15: Atividade 3 – User</w:t>
        <w:br w:type="textWrapping"/>
        <w:br w:type="textWrapping"/>
      </w:r>
      <w:r w:rsidDel="00000000" w:rsidR="00000000" w:rsidRPr="00000000">
        <w:rPr>
          <w:rtl w:val="0"/>
        </w:rPr>
      </w:r>
    </w:p>
    <w:sdt>
      <w:sdtPr>
        <w:lock w:val="contentLocked"/>
        <w:id w:val="857220096"/>
        <w:tag w:val="goog_rdk_6"/>
      </w:sdtPr>
      <w:sdtContent>
        <w:tbl>
          <w:tblPr>
            <w:tblStyle w:val="Table20"/>
            <w:tblW w:w="9418.0" w:type="dxa"/>
            <w:jc w:val="center"/>
            <w:tblLayout w:type="fixed"/>
            <w:tblLook w:val="0400"/>
          </w:tblPr>
          <w:tblGrid>
            <w:gridCol w:w="9418"/>
            <w:tblGridChange w:id="0">
              <w:tblGrid>
                <w:gridCol w:w="941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1f5f9" w:val="clear"/>
                <w:tcMar>
                  <w:top w:w="350.0" w:type="dxa"/>
                  <w:left w:w="200.0" w:type="dxa"/>
                  <w:bottom w:w="350.0" w:type="dxa"/>
                  <w:right w:w="200.0" w:type="dxa"/>
                </w:tcMar>
              </w:tcPr>
              <w:p w:rsidR="00000000" w:rsidDel="00000000" w:rsidP="00000000" w:rsidRDefault="00000000" w:rsidRPr="00000000" w14:paraId="0000009B">
                <w:pPr>
                  <w:spacing w:after="280" w:before="80" w:lineRule="auto"/>
                  <w:jc w:val="center"/>
                  <w:rPr/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sz w:val="19"/>
                    <w:szCs w:val="19"/>
                  </w:rPr>
                  <w:drawing>
                    <wp:inline distB="114300" distT="114300" distL="114300" distR="114300">
                      <wp:extent cx="5734050" cy="2755900"/>
                      <wp:effectExtent b="0" l="0" r="0" t="0"/>
                      <wp:docPr id="24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2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34050" cy="2755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C">
      <w:pPr>
        <w:spacing w:after="280" w:before="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9"/>
          <w:szCs w:val="19"/>
          <w:rtl w:val="0"/>
        </w:rPr>
        <w:t xml:space="preserve">Figura 16: Atividade 3 – Email recuperar senha</w:t>
        <w:br w:type="textWrapping"/>
        <w:br w:type="textWrapping"/>
      </w:r>
      <w:r w:rsidDel="00000000" w:rsidR="00000000" w:rsidRPr="00000000">
        <w:rPr>
          <w:rtl w:val="0"/>
        </w:rPr>
      </w:r>
    </w:p>
    <w:sdt>
      <w:sdtPr>
        <w:lock w:val="contentLocked"/>
        <w:id w:val="1318877296"/>
        <w:tag w:val="goog_rdk_7"/>
      </w:sdtPr>
      <w:sdtContent>
        <w:tbl>
          <w:tblPr>
            <w:tblStyle w:val="Table21"/>
            <w:tblW w:w="9418.0" w:type="dxa"/>
            <w:jc w:val="center"/>
            <w:tblLayout w:type="fixed"/>
            <w:tblLook w:val="0400"/>
          </w:tblPr>
          <w:tblGrid>
            <w:gridCol w:w="9418"/>
            <w:tblGridChange w:id="0">
              <w:tblGrid>
                <w:gridCol w:w="941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1f5f9" w:val="clear"/>
                <w:tcMar>
                  <w:top w:w="350.0" w:type="dxa"/>
                  <w:left w:w="200.0" w:type="dxa"/>
                  <w:bottom w:w="350.0" w:type="dxa"/>
                  <w:right w:w="200.0" w:type="dxa"/>
                </w:tcMar>
              </w:tcPr>
              <w:p w:rsidR="00000000" w:rsidDel="00000000" w:rsidP="00000000" w:rsidRDefault="00000000" w:rsidRPr="00000000" w14:paraId="0000009D">
                <w:pPr>
                  <w:spacing w:after="280" w:before="80" w:lineRule="auto"/>
                  <w:jc w:val="center"/>
                  <w:rPr/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sz w:val="19"/>
                    <w:szCs w:val="19"/>
                  </w:rPr>
                  <w:drawing>
                    <wp:inline distB="114300" distT="114300" distL="114300" distR="114300">
                      <wp:extent cx="5734050" cy="4508500"/>
                      <wp:effectExtent b="0" l="0" r="0" t="0"/>
                      <wp:docPr id="14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2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34050" cy="4508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E">
      <w:pPr>
        <w:spacing w:after="280" w:before="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9"/>
          <w:szCs w:val="19"/>
          <w:rtl w:val="0"/>
        </w:rPr>
        <w:t xml:space="preserve">Figura 17: Atividade 3 – Link de recuperar senha</w:t>
        <w:br w:type="textWrapping"/>
      </w:r>
      <w:r w:rsidDel="00000000" w:rsidR="00000000" w:rsidRPr="00000000">
        <w:rPr>
          <w:rtl w:val="0"/>
        </w:rPr>
      </w:r>
    </w:p>
    <w:sdt>
      <w:sdtPr>
        <w:lock w:val="contentLocked"/>
        <w:id w:val="-755230257"/>
        <w:tag w:val="goog_rdk_8"/>
      </w:sdtPr>
      <w:sdtContent>
        <w:tbl>
          <w:tblPr>
            <w:tblStyle w:val="Table22"/>
            <w:tblW w:w="9418.0" w:type="dxa"/>
            <w:jc w:val="center"/>
            <w:tblLayout w:type="fixed"/>
            <w:tblLook w:val="0400"/>
          </w:tblPr>
          <w:tblGrid>
            <w:gridCol w:w="9418"/>
            <w:tblGridChange w:id="0">
              <w:tblGrid>
                <w:gridCol w:w="941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1f5f9" w:val="clear"/>
                <w:tcMar>
                  <w:top w:w="350.0" w:type="dxa"/>
                  <w:left w:w="200.0" w:type="dxa"/>
                  <w:bottom w:w="350.0" w:type="dxa"/>
                  <w:right w:w="200.0" w:type="dxa"/>
                </w:tcMar>
              </w:tcPr>
              <w:p w:rsidR="00000000" w:rsidDel="00000000" w:rsidP="00000000" w:rsidRDefault="00000000" w:rsidRPr="00000000" w14:paraId="0000009F">
                <w:pPr>
                  <w:spacing w:after="280" w:before="80" w:lineRule="auto"/>
                  <w:jc w:val="center"/>
                  <w:rPr/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sz w:val="19"/>
                    <w:szCs w:val="19"/>
                  </w:rPr>
                  <w:drawing>
                    <wp:inline distB="114300" distT="114300" distL="114300" distR="114300">
                      <wp:extent cx="4143375" cy="6486525"/>
                      <wp:effectExtent b="0" l="0" r="0" t="0"/>
                      <wp:docPr id="2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2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143375" cy="6486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0">
      <w:pPr>
        <w:spacing w:after="280" w:before="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9"/>
          <w:szCs w:val="19"/>
          <w:rtl w:val="0"/>
        </w:rPr>
        <w:t xml:space="preserve">Figura 18: Atividade 3 – Senha recuperada</w:t>
        <w:br w:type="textWrapping"/>
        <w:br w:type="textWrapping"/>
      </w:r>
      <w:r w:rsidDel="00000000" w:rsidR="00000000" w:rsidRPr="00000000">
        <w:rPr>
          <w:rtl w:val="0"/>
        </w:rPr>
      </w:r>
    </w:p>
    <w:sdt>
      <w:sdtPr>
        <w:lock w:val="contentLocked"/>
        <w:id w:val="-690393838"/>
        <w:tag w:val="goog_rdk_9"/>
      </w:sdtPr>
      <w:sdtContent>
        <w:tbl>
          <w:tblPr>
            <w:tblStyle w:val="Table23"/>
            <w:tblW w:w="9418.0" w:type="dxa"/>
            <w:jc w:val="center"/>
            <w:tblLayout w:type="fixed"/>
            <w:tblLook w:val="0400"/>
          </w:tblPr>
          <w:tblGrid>
            <w:gridCol w:w="9418"/>
            <w:tblGridChange w:id="0">
              <w:tblGrid>
                <w:gridCol w:w="941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1f5f9" w:val="clear"/>
                <w:tcMar>
                  <w:top w:w="350.0" w:type="dxa"/>
                  <w:left w:w="200.0" w:type="dxa"/>
                  <w:bottom w:w="350.0" w:type="dxa"/>
                  <w:right w:w="200.0" w:type="dxa"/>
                </w:tcMar>
              </w:tcPr>
              <w:p w:rsidR="00000000" w:rsidDel="00000000" w:rsidP="00000000" w:rsidRDefault="00000000" w:rsidRPr="00000000" w14:paraId="000000A1">
                <w:pPr>
                  <w:spacing w:after="280" w:before="80" w:lineRule="auto"/>
                  <w:jc w:val="center"/>
                  <w:rPr/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sz w:val="19"/>
                    <w:szCs w:val="19"/>
                  </w:rPr>
                  <w:drawing>
                    <wp:inline distB="114300" distT="114300" distL="114300" distR="114300">
                      <wp:extent cx="4267200" cy="2552700"/>
                      <wp:effectExtent b="0" l="0" r="0" t="0"/>
                      <wp:docPr id="27" name="image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.png"/>
                              <pic:cNvPicPr preferRelativeResize="0"/>
                            </pic:nvPicPr>
                            <pic:blipFill>
                              <a:blip r:embed="rId2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67200" cy="255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2">
      <w:pPr>
        <w:spacing w:after="280" w:before="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9"/>
          <w:szCs w:val="19"/>
          <w:rtl w:val="0"/>
        </w:rPr>
        <w:t xml:space="preserve">Figura 19: Atividade 3 – Linx expirado/usado</w:t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Dificuldades e como foram resolvidas.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1"/>
          <w:szCs w:val="21"/>
          <w:rtl w:val="0"/>
        </w:rPr>
        <w:t xml:space="preserve">Ajustar a comunicação segura entre contêineres na mesma rede virtual do Docker Compose sem depender de IPs estáticos. A resolução foi alcançada utilizando os nomes dos serviços como hostnames DNS internos do Docker (http://auth-service:4000).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293b"/>
          <w:sz w:val="24"/>
          <w:szCs w:val="24"/>
          <w:rtl w:val="0"/>
        </w:rPr>
        <w:t xml:space="preserve">4.4  Atividade 4 – Controle de acesso por papel – RBAC</w:t>
      </w:r>
      <w:r w:rsidDel="00000000" w:rsidR="00000000" w:rsidRPr="00000000">
        <w:rPr>
          <w:rtl w:val="0"/>
        </w:rPr>
      </w:r>
    </w:p>
    <w:tbl>
      <w:tblPr>
        <w:tblStyle w:val="Table24"/>
        <w:tblW w:w="9418.0" w:type="dxa"/>
        <w:jc w:val="center"/>
        <w:tblLayout w:type="fixed"/>
        <w:tblLook w:val="0400"/>
      </w:tblPr>
      <w:tblGrid>
        <w:gridCol w:w="4709"/>
        <w:gridCol w:w="4709"/>
        <w:tblGridChange w:id="0">
          <w:tblGrid>
            <w:gridCol w:w="4709"/>
            <w:gridCol w:w="4709"/>
          </w:tblGrid>
        </w:tblGridChange>
      </w:tblGrid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O campo role passa a decidir permissões reais no backend (403 para usuário comum).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Data planejada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04/09/2026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Data 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01/09/2026 00:48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6534"/>
                <w:sz w:val="19"/>
                <w:szCs w:val="19"/>
                <w:rtl w:val="0"/>
              </w:rPr>
              <w:t xml:space="preserve">entregue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GitHub – commits 6636f4d e a8e31ef + print do 403 e da ação de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after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https://github.com/LucasHiratuca/Entrega-da-Atividade/commit/6636f4d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O que foi feito.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1"/>
          <w:szCs w:val="21"/>
          <w:rtl w:val="0"/>
        </w:rPr>
        <w:t xml:space="preserve">Implementou-se o modelo de autorização Role-Based Access Control (RBAC) adotando o Padrão B (claims embutidas diretamente no payload do JWT). O campo role (usuario ou admin) trafega assinado no token, permitindo verificação instantânea no catalogo-service sem overhead de consultas repetidas ao banco de dados.</w:t>
        <w:br w:type="textWrapping"/>
        <w:br w:type="textWrapping"/>
        <w:t xml:space="preserve">Foram criados os middlewares requireLogin e requireAdmin. Usuários autenticados com perfil comum têm acesso restrito ao catálogo, favoritos e comentários próprios. Tentativas de acessar rotas de moderação ou painel de gestão de usuários (/admin/usuarios) são barradas com status HTTP 403 Forbidden diretamente na camada do servidor.</w:t>
      </w:r>
      <w:r w:rsidDel="00000000" w:rsidR="00000000" w:rsidRPr="00000000">
        <w:rPr>
          <w:rtl w:val="0"/>
        </w:rPr>
      </w:r>
    </w:p>
    <w:tbl>
      <w:tblPr>
        <w:tblStyle w:val="Table25"/>
        <w:tblW w:w="9418.0" w:type="dxa"/>
        <w:jc w:val="center"/>
        <w:tblLayout w:type="fixed"/>
        <w:tblLook w:val="0400"/>
      </w:tblPr>
      <w:tblGrid>
        <w:gridCol w:w="9418"/>
        <w:tblGridChange w:id="0">
          <w:tblGrid>
            <w:gridCol w:w="9418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350.0" w:type="dxa"/>
              <w:left w:w="200.0" w:type="dxa"/>
              <w:bottom w:w="350.0" w:type="dxa"/>
              <w:right w:w="200.0" w:type="dxa"/>
            </w:tcMar>
          </w:tcPr>
          <w:p w:rsidR="00000000" w:rsidDel="00000000" w:rsidP="00000000" w:rsidRDefault="00000000" w:rsidRPr="00000000" w14:paraId="000000B3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</w:rPr>
              <w:drawing>
                <wp:inline distB="114300" distT="114300" distL="114300" distR="114300">
                  <wp:extent cx="3705225" cy="342900"/>
                  <wp:effectExtent b="0" l="0" r="0" t="0"/>
                  <wp:docPr id="25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280" w:before="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9"/>
          <w:szCs w:val="19"/>
          <w:rtl w:val="0"/>
        </w:rPr>
        <w:t xml:space="preserve">Figura 20 Atividade 4 – Evidência do Commit</w:t>
      </w:r>
      <w:r w:rsidDel="00000000" w:rsidR="00000000" w:rsidRPr="00000000">
        <w:rPr>
          <w:rtl w:val="0"/>
        </w:rPr>
      </w:r>
    </w:p>
    <w:tbl>
      <w:tblPr>
        <w:tblStyle w:val="Table26"/>
        <w:tblW w:w="9418.0" w:type="dxa"/>
        <w:jc w:val="center"/>
        <w:tblLayout w:type="fixed"/>
        <w:tblLook w:val="0400"/>
      </w:tblPr>
      <w:tblGrid>
        <w:gridCol w:w="9418"/>
        <w:tblGridChange w:id="0">
          <w:tblGrid>
            <w:gridCol w:w="9418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350.0" w:type="dxa"/>
              <w:left w:w="200.0" w:type="dxa"/>
              <w:bottom w:w="350.0" w:type="dxa"/>
              <w:right w:w="200.0" w:type="dxa"/>
            </w:tcMar>
          </w:tcPr>
          <w:p w:rsidR="00000000" w:rsidDel="00000000" w:rsidP="00000000" w:rsidRDefault="00000000" w:rsidRPr="00000000" w14:paraId="000000B5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</w:rPr>
              <w:drawing>
                <wp:inline distB="114300" distT="114300" distL="114300" distR="114300">
                  <wp:extent cx="5734050" cy="2108200"/>
                  <wp:effectExtent b="0" l="0" r="0" t="0"/>
                  <wp:docPr id="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10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280" w:before="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9"/>
          <w:szCs w:val="19"/>
          <w:rtl w:val="0"/>
        </w:rPr>
        <w:t xml:space="preserve">Figura 21: Atividade 4 –Tela de admin (Exclusiva da role)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27"/>
        <w:tblW w:w="9418.0" w:type="dxa"/>
        <w:jc w:val="center"/>
        <w:tblLayout w:type="fixed"/>
        <w:tblLook w:val="0400"/>
      </w:tblPr>
      <w:tblGrid>
        <w:gridCol w:w="9418"/>
        <w:tblGridChange w:id="0">
          <w:tblGrid>
            <w:gridCol w:w="9418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350.0" w:type="dxa"/>
              <w:left w:w="200.0" w:type="dxa"/>
              <w:bottom w:w="350.0" w:type="dxa"/>
              <w:right w:w="200.0" w:type="dxa"/>
            </w:tcMar>
          </w:tcPr>
          <w:p w:rsidR="00000000" w:rsidDel="00000000" w:rsidP="00000000" w:rsidRDefault="00000000" w:rsidRPr="00000000" w14:paraId="000000B7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</w:rPr>
              <w:drawing>
                <wp:inline distB="114300" distT="114300" distL="114300" distR="114300">
                  <wp:extent cx="5734050" cy="2222500"/>
                  <wp:effectExtent b="0" l="0" r="0" t="0"/>
                  <wp:docPr id="23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22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280" w:before="80" w:lineRule="auto"/>
        <w:jc w:val="center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966039571"/>
        <w:tag w:val="goog_rdk_10"/>
      </w:sdtPr>
      <w:sdtContent>
        <w:tbl>
          <w:tblPr>
            <w:tblStyle w:val="Table28"/>
            <w:tblW w:w="9418.0" w:type="dxa"/>
            <w:jc w:val="center"/>
            <w:tblLayout w:type="fixed"/>
            <w:tblLook w:val="0400"/>
          </w:tblPr>
          <w:tblGrid>
            <w:gridCol w:w="9418"/>
            <w:tblGridChange w:id="0">
              <w:tblGrid>
                <w:gridCol w:w="941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1f5f9" w:val="clear"/>
                <w:tcMar>
                  <w:top w:w="350.0" w:type="dxa"/>
                  <w:left w:w="200.0" w:type="dxa"/>
                  <w:bottom w:w="350.0" w:type="dxa"/>
                  <w:right w:w="200.0" w:type="dxa"/>
                </w:tcMar>
              </w:tcPr>
              <w:p w:rsidR="00000000" w:rsidDel="00000000" w:rsidP="00000000" w:rsidRDefault="00000000" w:rsidRPr="00000000" w14:paraId="000000B9">
                <w:pPr>
                  <w:spacing w:after="80" w:lineRule="auto"/>
                  <w:jc w:val="center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64748b"/>
                  </w:rPr>
                  <w:drawing>
                    <wp:inline distB="114300" distT="114300" distL="114300" distR="114300">
                      <wp:extent cx="1876425" cy="990600"/>
                      <wp:effectExtent b="0" l="0" r="0" t="0"/>
                      <wp:docPr id="10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2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76425" cy="990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A">
      <w:pPr>
        <w:spacing w:after="280" w:before="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9"/>
          <w:szCs w:val="19"/>
          <w:rtl w:val="0"/>
        </w:rPr>
        <w:br w:type="textWrapping"/>
        <w:t xml:space="preserve">Figura 22-23: Atividade 4 – Favoritos ilimitados (Exclusiva Admin)</w:t>
      </w:r>
      <w:r w:rsidDel="00000000" w:rsidR="00000000" w:rsidRPr="00000000">
        <w:rPr>
          <w:rtl w:val="0"/>
        </w:rPr>
      </w:r>
    </w:p>
    <w:tbl>
      <w:tblPr>
        <w:tblStyle w:val="Table29"/>
        <w:tblW w:w="9418.0" w:type="dxa"/>
        <w:jc w:val="center"/>
        <w:tblLayout w:type="fixed"/>
        <w:tblLook w:val="0400"/>
      </w:tblPr>
      <w:tblGrid>
        <w:gridCol w:w="9418"/>
        <w:tblGridChange w:id="0">
          <w:tblGrid>
            <w:gridCol w:w="9418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350.0" w:type="dxa"/>
              <w:left w:w="200.0" w:type="dxa"/>
              <w:bottom w:w="350.0" w:type="dxa"/>
              <w:right w:w="200.0" w:type="dxa"/>
            </w:tcMar>
          </w:tcPr>
          <w:p w:rsidR="00000000" w:rsidDel="00000000" w:rsidP="00000000" w:rsidRDefault="00000000" w:rsidRPr="00000000" w14:paraId="000000BB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</w:rPr>
              <w:drawing>
                <wp:inline distB="114300" distT="114300" distL="114300" distR="114300">
                  <wp:extent cx="5734050" cy="1054100"/>
                  <wp:effectExtent b="0" l="0" r="0" t="0"/>
                  <wp:docPr id="18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105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280" w:before="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9"/>
          <w:szCs w:val="19"/>
          <w:rtl w:val="0"/>
        </w:rPr>
        <w:t xml:space="preserve">Figura 24: Atividade 4 –User não pode ver tela de admin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30"/>
        <w:tblW w:w="9418.0" w:type="dxa"/>
        <w:jc w:val="center"/>
        <w:tblLayout w:type="fixed"/>
        <w:tblLook w:val="0400"/>
      </w:tblPr>
      <w:tblGrid>
        <w:gridCol w:w="9418"/>
        <w:tblGridChange w:id="0">
          <w:tblGrid>
            <w:gridCol w:w="9418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350.0" w:type="dxa"/>
              <w:left w:w="200.0" w:type="dxa"/>
              <w:bottom w:w="350.0" w:type="dxa"/>
              <w:right w:w="200.0" w:type="dxa"/>
            </w:tcMar>
          </w:tcPr>
          <w:p w:rsidR="00000000" w:rsidDel="00000000" w:rsidP="00000000" w:rsidRDefault="00000000" w:rsidRPr="00000000" w14:paraId="000000BD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</w:rPr>
              <w:drawing>
                <wp:inline distB="114300" distT="114300" distL="114300" distR="114300">
                  <wp:extent cx="5734050" cy="952500"/>
                  <wp:effectExtent b="0" l="0" r="0" t="0"/>
                  <wp:docPr id="2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95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280" w:before="8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418.0" w:type="dxa"/>
        <w:jc w:val="center"/>
        <w:tblLayout w:type="fixed"/>
        <w:tblLook w:val="0400"/>
      </w:tblPr>
      <w:tblGrid>
        <w:gridCol w:w="9418"/>
        <w:tblGridChange w:id="0">
          <w:tblGrid>
            <w:gridCol w:w="9418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350.0" w:type="dxa"/>
              <w:left w:w="200.0" w:type="dxa"/>
              <w:bottom w:w="350.0" w:type="dxa"/>
              <w:right w:w="200.0" w:type="dxa"/>
            </w:tcMar>
          </w:tcPr>
          <w:p w:rsidR="00000000" w:rsidDel="00000000" w:rsidP="00000000" w:rsidRDefault="00000000" w:rsidRPr="00000000" w14:paraId="000000BF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</w:rPr>
              <w:drawing>
                <wp:inline distB="114300" distT="114300" distL="114300" distR="114300">
                  <wp:extent cx="1876425" cy="990600"/>
                  <wp:effectExtent b="0" l="0" r="0" t="0"/>
                  <wp:docPr id="2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99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280" w:before="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9"/>
          <w:szCs w:val="19"/>
          <w:rtl w:val="0"/>
        </w:rPr>
        <w:br w:type="textWrapping"/>
        <w:t xml:space="preserve">Figura 25-26: Atividade 4 – Limite de 15 favoritos em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80" w:before="80" w:lineRule="auto"/>
        <w:jc w:val="center"/>
        <w:rPr>
          <w:rFonts w:ascii="Times New Roman" w:cs="Times New Roman" w:eastAsia="Times New Roman" w:hAnsi="Times New Roman"/>
          <w:i w:val="1"/>
          <w:i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80" w:before="80" w:lineRule="auto"/>
        <w:jc w:val="center"/>
        <w:rPr>
          <w:rFonts w:ascii="Times New Roman" w:cs="Times New Roman" w:eastAsia="Times New Roman" w:hAnsi="Times New Roman"/>
          <w:i w:val="1"/>
          <w:i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80" w:before="80" w:lineRule="auto"/>
        <w:jc w:val="center"/>
        <w:rPr>
          <w:rFonts w:ascii="Times New Roman" w:cs="Times New Roman" w:eastAsia="Times New Roman" w:hAnsi="Times New Roman"/>
          <w:i w:val="1"/>
          <w:i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Dificuldades e como foram resolvidas.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1"/>
          <w:szCs w:val="21"/>
          <w:rtl w:val="0"/>
        </w:rPr>
        <w:t xml:space="preserve">Garantir que tipos de dados inteiros para userId não causassem falhas na comparação estrita (===) no JavaScript. Foi adotado parsing consistente com parseInt() em todos os middlewares e controladores de permissão.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293b"/>
          <w:sz w:val="24"/>
          <w:szCs w:val="24"/>
          <w:rtl w:val="0"/>
        </w:rPr>
        <w:t xml:space="preserve">4.5  Atividade 5 – Logs e auditoria</w:t>
      </w:r>
      <w:r w:rsidDel="00000000" w:rsidR="00000000" w:rsidRPr="00000000">
        <w:rPr>
          <w:rtl w:val="0"/>
        </w:rPr>
      </w:r>
    </w:p>
    <w:tbl>
      <w:tblPr>
        <w:tblStyle w:val="Table32"/>
        <w:tblW w:w="9418.0" w:type="dxa"/>
        <w:jc w:val="center"/>
        <w:tblLayout w:type="fixed"/>
        <w:tblLook w:val="0400"/>
      </w:tblPr>
      <w:tblGrid>
        <w:gridCol w:w="4709"/>
        <w:gridCol w:w="4709"/>
        <w:tblGridChange w:id="0">
          <w:tblGrid>
            <w:gridCol w:w="4709"/>
            <w:gridCol w:w="4709"/>
          </w:tblGrid>
        </w:tblGridChange>
      </w:tblGrid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Novo log-service com Redis registrando login, ações sensíveis e tentativas negadas.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Data planejada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25/09/2026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Data 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08/09/2026 12:57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6534"/>
                <w:sz w:val="19"/>
                <w:szCs w:val="19"/>
                <w:rtl w:val="0"/>
              </w:rPr>
              <w:t xml:space="preserve">entregue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GitHub – commits e6c6682 e 8bc9faa + print da consulta de logs pelo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https://github.com/LucasHiratuca/Entrega-da-Atividade/commit/e6c6682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O que foi feito.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1"/>
          <w:szCs w:val="21"/>
          <w:rtl w:val="0"/>
        </w:rPr>
        <w:t xml:space="preserve">Foi introduzido um terceiro microsserviço dedicado, o log-service (porta 5000), acoplado a uma instância do Redis 7. O serviço implementa ingestão assíncrona de eventos via HTTP POST, persistindo as entradas de auditoria na estrutura de alta performance Redis Streams.</w:t>
        <w:br w:type="textWrapping"/>
        <w:br w:type="textWrapping"/>
        <w:t xml:space="preserve">O catalogo-service consome o utilitário de auditoria registrando eventos críticos: logins com sucesso, encerramentos de sessão, falhas de autenticação, exclusão de comentários e edições de perfil. A interface /admin/logs foi criada com restrição exclusiva a administradores para visualização e filtragem cronológica reversa dos registros em tempo real.</w:t>
        <w:br w:type="textWrapping"/>
        <w:br w:type="textWrapping"/>
        <w:t xml:space="preserve">A tela de log tem acesso restrito para apenas user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 que tem cargo de Admin, por meio de um botão que aparece na tela exclusiva dos administradores. Como mostrado na entrega anterior, um usuário padrão não consegue ter acesso à tela especial dos admins</w:t>
      </w:r>
      <w:r w:rsidDel="00000000" w:rsidR="00000000" w:rsidRPr="00000000">
        <w:rPr>
          <w:rtl w:val="0"/>
        </w:rPr>
      </w:r>
    </w:p>
    <w:tbl>
      <w:tblPr>
        <w:tblStyle w:val="Table33"/>
        <w:tblW w:w="9418.0" w:type="dxa"/>
        <w:jc w:val="center"/>
        <w:tblLayout w:type="fixed"/>
        <w:tblLook w:val="0400"/>
      </w:tblPr>
      <w:tblGrid>
        <w:gridCol w:w="9418"/>
        <w:tblGridChange w:id="0">
          <w:tblGrid>
            <w:gridCol w:w="9418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350.0" w:type="dxa"/>
              <w:left w:w="200.0" w:type="dxa"/>
              <w:bottom w:w="350.0" w:type="dxa"/>
              <w:right w:w="200.0" w:type="dxa"/>
            </w:tcMar>
          </w:tcPr>
          <w:p w:rsidR="00000000" w:rsidDel="00000000" w:rsidP="00000000" w:rsidRDefault="00000000" w:rsidRPr="00000000" w14:paraId="000000D5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</w:rPr>
              <w:drawing>
                <wp:inline distB="114300" distT="114300" distL="114300" distR="114300">
                  <wp:extent cx="4305300" cy="542925"/>
                  <wp:effectExtent b="0" l="0" r="0" t="0"/>
                  <wp:docPr id="1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300" cy="542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280" w:before="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9"/>
          <w:szCs w:val="19"/>
          <w:rtl w:val="0"/>
        </w:rPr>
        <w:t xml:space="preserve">Figura 27: Atividade 5 – Evidência do Commit</w:t>
      </w:r>
      <w:r w:rsidDel="00000000" w:rsidR="00000000" w:rsidRPr="00000000">
        <w:rPr>
          <w:rtl w:val="0"/>
        </w:rPr>
      </w:r>
    </w:p>
    <w:tbl>
      <w:tblPr>
        <w:tblStyle w:val="Table34"/>
        <w:tblW w:w="9418.0" w:type="dxa"/>
        <w:jc w:val="center"/>
        <w:tblLayout w:type="fixed"/>
        <w:tblLook w:val="0400"/>
      </w:tblPr>
      <w:tblGrid>
        <w:gridCol w:w="9418"/>
        <w:tblGridChange w:id="0">
          <w:tblGrid>
            <w:gridCol w:w="9418"/>
          </w:tblGrid>
        </w:tblGridChange>
      </w:tblGrid>
      <w:tr>
        <w:trPr>
          <w:cantSplit w:val="0"/>
          <w:trHeight w:val="5474.56787109375" w:hRule="atLeast"/>
          <w:tblHeader w:val="0"/>
        </w:trPr>
        <w:tc>
          <w:tcPr>
            <w:shd w:fill="f1f5f9" w:val="clear"/>
            <w:tcMar>
              <w:top w:w="350.0" w:type="dxa"/>
              <w:left w:w="200.0" w:type="dxa"/>
              <w:bottom w:w="350.0" w:type="dxa"/>
              <w:right w:w="200.0" w:type="dxa"/>
            </w:tcMar>
          </w:tcPr>
          <w:p w:rsidR="00000000" w:rsidDel="00000000" w:rsidP="00000000" w:rsidRDefault="00000000" w:rsidRPr="00000000" w14:paraId="000000D7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</w:rPr>
              <w:drawing>
                <wp:inline distB="114300" distT="114300" distL="114300" distR="114300">
                  <wp:extent cx="5734050" cy="3187700"/>
                  <wp:effectExtent b="0" l="0" r="0" t="0"/>
                  <wp:docPr id="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280" w:before="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9"/>
          <w:szCs w:val="19"/>
          <w:rtl w:val="0"/>
        </w:rPr>
        <w:t xml:space="preserve">Figura 28: Atividade 5 – Logs (Apenas admins)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Dificuldades e como foram resolvidas.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1"/>
          <w:szCs w:val="21"/>
          <w:rtl w:val="0"/>
        </w:rPr>
        <w:t xml:space="preserve">Garantir a sobrevivência dos logs a reinicializações de contêineres. Foi configurado um volume nomeado persistente para o contêiner do Redis no docker-compose.yml, além de timeout não-bloqueante no envio de logs para evitar impacto na experiência do usuário final caso o Redis ficasse temporariamente indisponível.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293b"/>
          <w:sz w:val="24"/>
          <w:szCs w:val="24"/>
          <w:rtl w:val="0"/>
        </w:rPr>
        <w:t xml:space="preserve">4.6  Atividade 6 – Upload e perfil de usuário</w:t>
      </w:r>
      <w:r w:rsidDel="00000000" w:rsidR="00000000" w:rsidRPr="00000000">
        <w:rPr>
          <w:rtl w:val="0"/>
        </w:rPr>
      </w:r>
    </w:p>
    <w:tbl>
      <w:tblPr>
        <w:tblStyle w:val="Table35"/>
        <w:tblW w:w="9418.0" w:type="dxa"/>
        <w:jc w:val="center"/>
        <w:tblLayout w:type="fixed"/>
        <w:tblLook w:val="0400"/>
      </w:tblPr>
      <w:tblGrid>
        <w:gridCol w:w="4709"/>
        <w:gridCol w:w="4709"/>
        <w:tblGridChange w:id="0">
          <w:tblGrid>
            <w:gridCol w:w="4709"/>
            <w:gridCol w:w="4709"/>
          </w:tblGrid>
        </w:tblGridChange>
      </w:tblGrid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Página de perfil com avatar no Garage S3; só a referência fica no banco relacional.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Data planejada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02/10/2026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Data 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26/09/2026 15:11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6534"/>
                <w:sz w:val="19"/>
                <w:szCs w:val="19"/>
                <w:rtl w:val="0"/>
              </w:rPr>
              <w:t xml:space="preserve">entregue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GitHub – commits 4219f05, 27856a8 e 8ca3fb6 + print do perfil com foto + SECURITY_AUDIT.md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spacing w:after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https://github.com/LucasHiratuca/Entrega-da-Atividade/commit/27856a8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O que foi feito.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1"/>
          <w:szCs w:val="21"/>
          <w:rtl w:val="0"/>
        </w:rPr>
        <w:t xml:space="preserve">Construção da página de perfil com suporte a upload de foto de avatar persistida em object storage. Foi integrado o Garage S3 (dxflrs/garage:v1.0.1), um engine leve e distribuído escrito em Rust compatível com AWS S3 API (Signature V4). A tabela perfis no MariaDB armazena apenas a biografia e a chave textual do objeto (foto_key), desacoplando o binário do banco relacional.</w:t>
        <w:br w:type="textWrapping"/>
        <w:br w:type="textWrapping"/>
        <w:t xml:space="preserve">A entrega da imagem foi arquitetada via streaming seguro pelo backend (/perfil/:userId/foto): o catalogo-service obtém o stream do Garage S3 via rede interna e o devolve ao navegador com cabeçalhos HTTP adequados (Content-Type validado e Cache-Control). O upload exige validação de MIME type (JPEG/PNG/WebP/GIF), limite de 5MB e geração de nomes via randomUUID(). Foi realizada ainda auditoria OWASP Top 10 com 100% de aprovação e remediação do CWE-640 (Password Reset Poisoning).</w:t>
      </w:r>
      <w:r w:rsidDel="00000000" w:rsidR="00000000" w:rsidRPr="00000000">
        <w:rPr>
          <w:rtl w:val="0"/>
        </w:rPr>
      </w:r>
    </w:p>
    <w:tbl>
      <w:tblPr>
        <w:tblStyle w:val="Table36"/>
        <w:tblW w:w="9418.0" w:type="dxa"/>
        <w:jc w:val="center"/>
        <w:tblLayout w:type="fixed"/>
        <w:tblLook w:val="0400"/>
      </w:tblPr>
      <w:tblGrid>
        <w:gridCol w:w="9418"/>
        <w:tblGridChange w:id="0">
          <w:tblGrid>
            <w:gridCol w:w="9418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350.0" w:type="dxa"/>
              <w:left w:w="200.0" w:type="dxa"/>
              <w:bottom w:w="350.0" w:type="dxa"/>
              <w:right w:w="200.0" w:type="dxa"/>
            </w:tcMar>
          </w:tcPr>
          <w:p w:rsidR="00000000" w:rsidDel="00000000" w:rsidP="00000000" w:rsidRDefault="00000000" w:rsidRPr="00000000" w14:paraId="000000EA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</w:rPr>
              <w:drawing>
                <wp:inline distB="114300" distT="114300" distL="114300" distR="114300">
                  <wp:extent cx="5734050" cy="444500"/>
                  <wp:effectExtent b="0" l="0" r="0" t="0"/>
                  <wp:docPr id="8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280" w:before="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9"/>
          <w:szCs w:val="19"/>
          <w:rtl w:val="0"/>
        </w:rPr>
        <w:t xml:space="preserve">Figura 29: Atividade 6 – Evidência do Commit</w:t>
      </w:r>
      <w:r w:rsidDel="00000000" w:rsidR="00000000" w:rsidRPr="00000000">
        <w:rPr>
          <w:rtl w:val="0"/>
        </w:rPr>
      </w:r>
    </w:p>
    <w:tbl>
      <w:tblPr>
        <w:tblStyle w:val="Table37"/>
        <w:tblW w:w="9418.0" w:type="dxa"/>
        <w:jc w:val="center"/>
        <w:tblLayout w:type="fixed"/>
        <w:tblLook w:val="0400"/>
      </w:tblPr>
      <w:tblGrid>
        <w:gridCol w:w="9418"/>
        <w:tblGridChange w:id="0">
          <w:tblGrid>
            <w:gridCol w:w="9418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350.0" w:type="dxa"/>
              <w:left w:w="200.0" w:type="dxa"/>
              <w:bottom w:w="350.0" w:type="dxa"/>
              <w:right w:w="200.0" w:type="dxa"/>
            </w:tcMar>
          </w:tcPr>
          <w:p w:rsidR="00000000" w:rsidDel="00000000" w:rsidP="00000000" w:rsidRDefault="00000000" w:rsidRPr="00000000" w14:paraId="000000EC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</w:rPr>
              <w:drawing>
                <wp:inline distB="114300" distT="114300" distL="114300" distR="114300">
                  <wp:extent cx="3857625" cy="2219325"/>
                  <wp:effectExtent b="0" l="0" r="0" t="0"/>
                  <wp:docPr id="30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7625" cy="2219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280" w:before="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9"/>
          <w:szCs w:val="19"/>
          <w:rtl w:val="0"/>
        </w:rPr>
        <w:t xml:space="preserve">Figura 30: Atividade 6 –Foto de perfil + bio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Dificuldades e como foram resolvidas.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1"/>
          <w:szCs w:val="21"/>
          <w:rtl w:val="0"/>
        </w:rPr>
        <w:t xml:space="preserve">Em outubro de 2025, a imagem oficial do MinIO foi descontinuada do Docker Hub, motivando a migração definitiva para o Garage S3. Além disso, URLs pré-assinadas geravam links com o host interno do contêiner (garage:3900), inacessível aos navegadores dos clientes. A substituição por streaming direto no backend resolveu a compatibilidade universalmente em ambientes locais e Cloudflare.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293b"/>
          <w:sz w:val="28"/>
          <w:szCs w:val="28"/>
          <w:rtl w:val="0"/>
        </w:rPr>
        <w:t xml:space="preserve">5  Considerações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1"/>
          <w:szCs w:val="21"/>
          <w:rtl w:val="0"/>
        </w:rPr>
        <w:t xml:space="preserve">O percurso de desenvolvimento percorrido ao longo do primeiro bimestre de ISW055 permitiu consolidar na prática os fundamentos de arquiteturas em nuvem modernas. A transição de um script inicial monolítico em Python para um ecossistema completo composto por microsserviços conteinerizados em Node.js, mensageria com Redis e storage compatível com S3 proporcionou um aprendizado expressivo sobre segregação de responsabilidades e resiliência.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1"/>
          <w:szCs w:val="21"/>
          <w:rtl w:val="0"/>
        </w:rPr>
        <w:t xml:space="preserve">A maior complexidade encontrada ocorreu na Atividade 6, onde a descontinuidade do MinIO no Docker Hub exigiu adaptabilidade imediata para selecionar, configurar e implantar o Garage S3 em Rust, ajustando o layout de cluster e o roteamento interno de rede. Essa experiência evidenciou o valor de adotar padrões abertos de mercado (como a S3 API), permitindo trocar a engine de armazenamento sem alterar as rotas da aplicação.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1"/>
          <w:szCs w:val="21"/>
          <w:rtl w:val="0"/>
        </w:rPr>
        <w:t xml:space="preserve">Como aprendizado contínuo, destaca-se a relevância de conceber sistemas com foco em segurança desde a camada de design (Security by Design). A auditoria baseada no OWASP Top 10 permitiu antecipar vetores de ataque como enumeração de credenciais e envenenamento de links. Para o segundo bimestre, pretende-se aprofundar na instrumentação de métricas com Prometheus e automação de pipelines de entrega contínua (CI/CD).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293b"/>
          <w:sz w:val="28"/>
          <w:szCs w:val="28"/>
          <w:rtl w:val="0"/>
        </w:rPr>
        <w:t xml:space="preserve">6  Declaração de autoria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1"/>
          <w:szCs w:val="21"/>
          <w:rtl w:val="0"/>
        </w:rPr>
        <w:t xml:space="preserve">Declaro que este relatório foi elaborado por mim, individualmente, e que as evidências apresentadas correspondem a entregas de minha autoria, verificáveis nos links informados. Nas atividades realizadas em grupo, o conteúdo aqui descrito refere-se à minha participação.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before="120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418.0" w:type="dxa"/>
        <w:jc w:val="center"/>
        <w:tblLayout w:type="fixed"/>
        <w:tblLook w:val="0400"/>
      </w:tblPr>
      <w:tblGrid>
        <w:gridCol w:w="4709"/>
        <w:gridCol w:w="4709"/>
        <w:tblGridChange w:id="0">
          <w:tblGrid>
            <w:gridCol w:w="4709"/>
            <w:gridCol w:w="47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color w:val="64748b"/>
                <w:rtl w:val="0"/>
              </w:rPr>
              <w:t xml:space="preserve">_________________________________________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Lucas Hiratuca</w:t>
              <w:br w:type="textWrapping"/>
            </w:r>
            <w:r w:rsidDel="00000000" w:rsidR="00000000" w:rsidRPr="00000000">
              <w:rPr>
                <w:rtl w:val="0"/>
              </w:rPr>
              <w:t xml:space="preserve">Aluno(a)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t xml:space="preserve">Pompeia, 07/10/2026</w:t>
            </w:r>
          </w:p>
        </w:tc>
      </w:tr>
    </w:tbl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1" w:top="1411" w:left="1411" w:right="141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urier New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5.png"/><Relationship Id="rId22" Type="http://schemas.openxmlformats.org/officeDocument/2006/relationships/image" Target="media/image17.png"/><Relationship Id="rId21" Type="http://schemas.openxmlformats.org/officeDocument/2006/relationships/image" Target="media/image10.png"/><Relationship Id="rId24" Type="http://schemas.openxmlformats.org/officeDocument/2006/relationships/image" Target="media/image9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23.png"/><Relationship Id="rId25" Type="http://schemas.openxmlformats.org/officeDocument/2006/relationships/image" Target="media/image19.png"/><Relationship Id="rId28" Type="http://schemas.openxmlformats.org/officeDocument/2006/relationships/image" Target="media/image21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15.png"/><Relationship Id="rId31" Type="http://schemas.openxmlformats.org/officeDocument/2006/relationships/image" Target="media/image12.png"/><Relationship Id="rId30" Type="http://schemas.openxmlformats.org/officeDocument/2006/relationships/image" Target="media/image29.png"/><Relationship Id="rId11" Type="http://schemas.openxmlformats.org/officeDocument/2006/relationships/image" Target="media/image4.png"/><Relationship Id="rId33" Type="http://schemas.openxmlformats.org/officeDocument/2006/relationships/image" Target="media/image8.png"/><Relationship Id="rId10" Type="http://schemas.openxmlformats.org/officeDocument/2006/relationships/image" Target="media/image16.png"/><Relationship Id="rId32" Type="http://schemas.openxmlformats.org/officeDocument/2006/relationships/image" Target="media/image14.png"/><Relationship Id="rId13" Type="http://schemas.openxmlformats.org/officeDocument/2006/relationships/image" Target="media/image27.png"/><Relationship Id="rId35" Type="http://schemas.openxmlformats.org/officeDocument/2006/relationships/image" Target="media/image22.png"/><Relationship Id="rId12" Type="http://schemas.openxmlformats.org/officeDocument/2006/relationships/image" Target="media/image13.png"/><Relationship Id="rId34" Type="http://schemas.openxmlformats.org/officeDocument/2006/relationships/image" Target="media/image28.png"/><Relationship Id="rId15" Type="http://schemas.openxmlformats.org/officeDocument/2006/relationships/image" Target="media/image6.png"/><Relationship Id="rId14" Type="http://schemas.openxmlformats.org/officeDocument/2006/relationships/image" Target="media/image24.png"/><Relationship Id="rId17" Type="http://schemas.openxmlformats.org/officeDocument/2006/relationships/image" Target="media/image20.png"/><Relationship Id="rId16" Type="http://schemas.openxmlformats.org/officeDocument/2006/relationships/image" Target="media/image5.png"/><Relationship Id="rId19" Type="http://schemas.openxmlformats.org/officeDocument/2006/relationships/image" Target="media/image18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xKD0auWzH+D7dCi6dFGskizdFg==">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