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16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FATEC POMPEIA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Introdução à Computação em Nuvem – ISW055 – 161_SIST. INTELIGENTES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P1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Relatório bimestral de atividades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64748b"/>
          <w:sz w:val="22"/>
          <w:szCs w:val="22"/>
          <w:rtl w:val="0"/>
        </w:rPr>
        <w:t xml:space="preserve">Avaliação individual – 2026.2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Lucas Tetsuya Hiratuca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Prof. Allan Lincoln Rodrigues Siriani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Pompeia, 07/10/2026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32"/>
          <w:szCs w:val="32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 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 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  Quadro de entregas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  Atividades realizadas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4.1  Atividade 1 – Agenda telefônica em Flask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4.2  Atividade 2 – Catálogo de filmes – Tom Hanks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4.3  Atividade 3 – Desacoplando o login – microsserviço de autenticação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4.4  Atividade 4 – Controle de acesso por papel – RBAC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4.5  Atividade 5 – Logs e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4.6  Atividade 6 – Upload e perfil de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5  Considerações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6  Declaração de autoria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1 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 disciplina ISW055 – Introdução à Computação em Nuvem, ministrada pelo Prof. Allan Lincoln Rodrigues Siriani na FATEC Pompeia no semestre letivo 2026.2, tem como propósito central proporcionar aos alunos a vivência prática e conceitual na construção, conteinerização e orquestração de aplicações modernas para ambientes em nuvem.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O projeto condutor ao longo deste primeiro bimestre foi o desenvolvimento e a evolução do Catálogo de Filmes de Tom Hanks. Partindo de uma arquitetura inicial monolítica, a solução progrediu de forma incremental para uma infraestrutura desacoplada em microsserviços conteinerizados com Docker. Foram incorporados requisitos reais de engenharia de software em nuvem: autenticação segura via JSON Web Tokens (JWT), controle de acesso baseado em papéis (RBAC), auditoria assíncrona de eventos com Redis Streams e persistência de mídia em object storage compatível com S3 (Garage S3).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Este relatório bimestral documenta minuciosamente as seis atividades propostas e entregues, detalhando as decisões de arquitetura adotadas, as dificuldades técnicas superadas, as evidências de entrega com carimbo temporal no Git e os resultados operacionais comprovados do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2 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Todas as atividades foram desenvolvidas com controle de versão via Git em repositórios públicos no GitHub. As datas e os horários de entrega foram rigorosamente extraídos do histórico de commits (git log) e conferidos diretamente na interface web do GitHub, garantindo rastreabilidade e imutabilidade das comprovações.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O ambiente de execução e teste foi estruturado com Docker Desktop e Docker Compose, padronizando os contêineres entre os ambientes de desenvolvimento e produção. O deploy final em nuvem é gerenciado via Portainer no servidor disponibilizado pelo orientador (lucas-hiratuca-isw055.lapps.studio), exposto por túnel seguro Cloudflare. As imagens oficiais foram publicadas no Docker Hub no namespace lucashiratuca/.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br w:type="textWrapping"/>
        <w:t xml:space="preserve">Vale destacar, que o desenvolvimento da aplicação foi efetuado com auxílio do Antigravity, da google, junto com os conhecimentos de arquitetura e boas práticas passadas na aula pelo professor, sendo aplicadas no desenvolvimento de cada entrega das features.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3  Quadro de entregas</w:t>
      </w: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center"/>
        <w:tblLayout w:type="fixed"/>
        <w:tblLook w:val="0400"/>
      </w:tblPr>
      <w:tblGrid>
        <w:gridCol w:w="1570"/>
        <w:gridCol w:w="1570"/>
        <w:gridCol w:w="1570"/>
        <w:gridCol w:w="1570"/>
        <w:gridCol w:w="1570"/>
        <w:gridCol w:w="1570"/>
        <w:tblGridChange w:id="0">
          <w:tblGrid>
            <w:gridCol w:w="1570"/>
            <w:gridCol w:w="1570"/>
            <w:gridCol w:w="1570"/>
            <w:gridCol w:w="1570"/>
            <w:gridCol w:w="1570"/>
            <w:gridCol w:w="1570"/>
          </w:tblGrid>
        </w:tblGridChange>
      </w:tblGrid>
      <w:tr>
        <w:trPr>
          <w:cantSplit w:val="0"/>
          <w:tblHeader w:val="0"/>
        </w:trPr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1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293b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Agenda telefônica em Flask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Nivelamento em sala: sistema monolítico Flask + Jinja com persistência em MariaDB.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07/08/2026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07/08/2026 20:03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Catálogo de filmes – Tom Hanks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Consumo da API TMDB, persistência em MariaDB e segregação por usuário.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20/08/2026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20/08/2026 20:54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Desacoplando o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Login, cadastro e esqueci-minha-senha num serviço à parte na rede interna do Docker.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28/08/2026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27/08/2026 13:00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Controle de acesso – 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O campo role passa a decidir permissões reais no backend (403 para usuário comum).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04/09/2026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01/09/2026 00:48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Logs e 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Novo log-service com Redis registrando login, ações sensíveis e tentativas negadas.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25/09/2026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08/09/2026 12:57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Upload e perfil de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spacing w:after="4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Página de perfil com avatar no Garage S3; só a referência fica no banco relacional.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02/10/2026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26/09/2026 15:11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60.0" w:type="dxa"/>
              <w:left w:w="8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7"/>
                <w:szCs w:val="17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4  Atividades realizadas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4.1  Atividade 1 – Agenda telefônica em Flask</w:t>
      </w:r>
      <w:r w:rsidDel="00000000" w:rsidR="00000000" w:rsidRPr="00000000">
        <w:rPr>
          <w:rtl w:val="0"/>
        </w:rPr>
      </w:r>
    </w:p>
    <w:tbl>
      <w:tblPr>
        <w:tblStyle w:val="Table2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Nivelamento em sala: sistema monolítico Flask + Jinja com persistência em banco de dados MariaDB na nuvem.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07/08/2026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07/08/2026 20:03 - 17/08/2026 20:27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commits 28230dc, 738ce73 e b1345e4 + README com menção ao professor + print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https://github.com/LucasHiratuca/aula_01_cloud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Durante a aula inicial de nivelamento, foi desenvolvida uma aplicação web em Python utilizando o framework Flask e o motor de templates Jinja2. A aplicação implementa um CRUD de contatos telefônicos conectado a uma instância remota do MariaDB hospedada no IP 35.226.64.52.</w:t>
        <w:br w:type="textWrapping"/>
        <w:br w:type="textWrapping"/>
        <w:t xml:space="preserve">Como decisão técnica, a camada de acesso a dados foi isolada utilizando a biblioteca PyMySQL, configurando codificação utf8mb4 e tratamento de erros de conexão. Posteriormente, foi aplicado saneamento de credenciais via variáveis de ambiente com arquivo .gitignore (commit fa5f58d).</w:t>
        <w:br w:type="textWrapping"/>
        <w:br w:type="textWrapping"/>
        <w:t xml:space="preserve">Est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e projeto foi simples e rápido, com um desenvolvimento da API feita pelo ChatGPT, no notebook da faculdade inicialmente, e finalização da API junto com criação de um Front-End básico na minha máquina pessoal (Funcionalidade bônus). </w:t>
        <w:br w:type="textWrapping"/>
        <w:br w:type="textWrapping"/>
        <w:t xml:space="preserve">Vale destacar que os commits não seguem boas práticas por não reportar o que foi feito, mas em suma, o “b” e “a” abordam a demanda pedida em sala de aula, enquanto o “commit2” integra a aplicação usando Front-End e uma conexão com MariaDB (Usando .env).</w:t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5B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444500"/>
                  <wp:effectExtent b="0" l="0" r="0" t="0"/>
                  <wp:docPr id="1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1: Atividade 1 – Evidência do commit </w:t>
      </w:r>
      <w:r w:rsidDel="00000000" w:rsidR="00000000" w:rsidRPr="00000000">
        <w:rPr>
          <w:rtl w:val="0"/>
        </w:rPr>
      </w:r>
    </w:p>
    <w:tbl>
      <w:tblPr>
        <w:tblStyle w:val="Table4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5D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2247900"/>
                  <wp:effectExtent b="0" l="0" r="0" t="0"/>
                  <wp:docPr id="7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2: Atividade 1 – Montagem do body para o POST no Front-End </w:t>
      </w:r>
      <w:r w:rsidDel="00000000" w:rsidR="00000000" w:rsidRPr="00000000">
        <w:rPr>
          <w:rtl w:val="0"/>
        </w:rPr>
      </w:r>
    </w:p>
    <w:tbl>
      <w:tblPr>
        <w:tblStyle w:val="Table5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5F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5397500"/>
                  <wp:effectExtent b="0" l="0" r="0" t="0"/>
                  <wp:docPr id="1" name="image22.png"/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5397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3: Atividade 1 – Resultado do GET no Front-End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br w:type="textWrapping"/>
        <w:br w:type="textWrapping"/>
        <w:br w:type="textWrapping"/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 principal dificuldade inicial consistiu na latência e na autenticação segura contra a base de dados remota do laboratório. O problema foi sanado com o correto ajuste da porta MySQL e a parametrização das variáveis no ambiente local.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 Um problema e confusão que aconteceu na parte de testes, foi tentar rodar essa aplicação com LiveServer, o que acabava em erro.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4.2  Atividade 2 – Catálogo de filmes – Tom Hanks</w:t>
      </w:r>
      <w:r w:rsidDel="00000000" w:rsidR="00000000" w:rsidRPr="00000000">
        <w:rPr>
          <w:rtl w:val="0"/>
        </w:rPr>
      </w:r>
    </w:p>
    <w:tbl>
      <w:tblPr>
        <w:tblStyle w:val="Table6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Consumo da API TMDB, persistência em MariaDB e segregação por usuário com sistema de favoritos.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20/08/2026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20/08/2026 20:54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 9a57391 + README com menção ao professor + print do catálogo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https://github.com/LucasHiratuca/Entrega-da-Atividade/commit/9a57391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Criação da aplicação principal do projeto utilizando Node.js, Express e EJS. A aplicação consome a API pública do The Movie Database (TMDB), filtrando e exibindo a filmografia completa do ator Tom Hanks com posters, títulos originais, sinopses e notas de avaliação.</w:t>
        <w:br w:type="textWrapping"/>
        <w:br w:type="textWrapping"/>
        <w:t xml:space="preserve">Foi construído o sistema de autenticação local com express-session e senhas criptografadas com bcryptjs. Adicionalmente, foi implementada a funcionalidade de filmes favoritos vinculada ao ID do usuário autenticado no MariaDB, segregando a lista de favoritos por sessão ativa.</w:t>
      </w:r>
      <w:r w:rsidDel="00000000" w:rsidR="00000000" w:rsidRPr="00000000">
        <w:rPr>
          <w:rtl w:val="0"/>
        </w:rPr>
      </w:r>
    </w:p>
    <w:tbl>
      <w:tblPr>
        <w:tblStyle w:val="Table7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71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355600"/>
                  <wp:effectExtent b="0" l="0" r="0" t="0"/>
                  <wp:docPr id="11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35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4: Atividade 2 – Evidência do commit</w:t>
      </w:r>
      <w:r w:rsidDel="00000000" w:rsidR="00000000" w:rsidRPr="00000000">
        <w:rPr>
          <w:rtl w:val="0"/>
        </w:rPr>
      </w:r>
    </w:p>
    <w:tbl>
      <w:tblPr>
        <w:tblStyle w:val="Table8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73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4953000" cy="5772150"/>
                  <wp:effectExtent b="0" l="0" r="0" t="0"/>
                  <wp:docPr id="5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3000" cy="5772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5: Atividade 2 – Tela de login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9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75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305425" cy="6391275"/>
                  <wp:effectExtent b="0" l="0" r="0" t="0"/>
                  <wp:docPr id="1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425" cy="63912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6: Atividade 2 – Validação na tela de login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380222626"/>
        <w:tag w:val="goog_rdk_0"/>
      </w:sdtPr>
      <w:sdtContent>
        <w:tbl>
          <w:tblPr>
            <w:tblStyle w:val="Table10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77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2463800"/>
                      <wp:effectExtent b="0" l="0" r="0" t="0"/>
                      <wp:docPr id="22" name="image2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7.png"/>
                              <pic:cNvPicPr preferRelativeResize="0"/>
                            </pic:nvPicPr>
                            <pic:blipFill>
                              <a:blip r:embed="rId1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2463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8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7: Atividade 2 – API pegando os filmes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942049508"/>
        <w:tag w:val="goog_rdk_1"/>
      </w:sdtPr>
      <w:sdtContent>
        <w:tbl>
          <w:tblPr>
            <w:tblStyle w:val="Table11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79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1790700"/>
                      <wp:effectExtent b="0" l="0" r="0" t="0"/>
                      <wp:docPr id="28" name="image2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5.png"/>
                              <pic:cNvPicPr preferRelativeResize="0"/>
                            </pic:nvPicPr>
                            <pic:blipFill>
                              <a:blip r:embed="rId1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1790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A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8: Atividade 2 – Tabela usuarios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1606407863"/>
        <w:tag w:val="goog_rdk_2"/>
      </w:sdtPr>
      <w:sdtContent>
        <w:tbl>
          <w:tblPr>
            <w:tblStyle w:val="Table12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7B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1816100"/>
                      <wp:effectExtent b="0" l="0" r="0" t="0"/>
                      <wp:docPr id="3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1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18161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C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9: Atividade 2 – Tabela comentarios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405491773"/>
        <w:tag w:val="goog_rdk_3"/>
      </w:sdtPr>
      <w:sdtContent>
        <w:tbl>
          <w:tblPr>
            <w:tblStyle w:val="Table13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7D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1651000"/>
                      <wp:effectExtent b="0" l="0" r="0" t="0"/>
                      <wp:docPr id="6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6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16510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E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10: Atividade 2 – Tabela favoritos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2050245788"/>
        <w:tag w:val="goog_rdk_4"/>
      </w:sdtPr>
      <w:sdtContent>
        <w:tbl>
          <w:tblPr>
            <w:tblStyle w:val="Table14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7F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2336800"/>
                      <wp:effectExtent b="0" l="0" r="0" t="0"/>
                      <wp:docPr id="16" name="image1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2.png"/>
                              <pic:cNvPicPr preferRelativeResize="0"/>
                            </pic:nvPicPr>
                            <pic:blipFill>
                              <a:blip r:embed="rId1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23368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80">
      <w:pPr>
        <w:spacing w:after="280" w:before="80" w:lineRule="auto"/>
        <w:jc w:val="center"/>
        <w:rPr>
          <w:rFonts w:ascii="Times New Roman" w:cs="Times New Roman" w:eastAsia="Times New Roman" w:hAnsi="Times New Roman"/>
          <w:i w:val="1"/>
          <w:iCs w:val="1"/>
          <w:sz w:val="19"/>
          <w:szCs w:val="19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11: Atividade 2 – Favoritos do usuário</w:t>
      </w:r>
    </w:p>
    <w:p w:rsidR="00000000" w:rsidDel="00000000" w:rsidP="00000000" w:rsidRDefault="00000000" w:rsidRPr="00000000" w14:paraId="00000081">
      <w:pPr>
        <w:spacing w:after="280" w:before="80" w:lineRule="auto"/>
        <w:jc w:val="center"/>
        <w:rPr>
          <w:rFonts w:ascii="Times New Roman" w:cs="Times New Roman" w:eastAsia="Times New Roman" w:hAnsi="Times New Roman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 API do TMDB utiliza paginação de resultados. Para garantir que toda a filmografia do ator fosse renderizada sem cortes, foi implementada uma rotina assíncrona que itera sobre as páginas da API e consolida os dados em memória antes da renderização EJS.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4.3  Atividade 3 – Desacoplando o login – microsserviço de autenticação</w:t>
      </w:r>
      <w:r w:rsidDel="00000000" w:rsidR="00000000" w:rsidRPr="00000000">
        <w:rPr>
          <w:rtl w:val="0"/>
        </w:rPr>
      </w:r>
    </w:p>
    <w:tbl>
      <w:tblPr>
        <w:tblStyle w:val="Table15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Login, cadastro e esqueci-minha-senha num serviço à parte na rede interna do Docker.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28/08/2026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27/08/2026 13:00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 320028a + docker-compose.yml + print do login funcionando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https://github.com/LucasHiratuca/Entrega-da-Atividade/commit/320028a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 arquitetura do sistema foi refatorada sob o padrão Backend-for-Frontend (BFF). O serviço de catálogo (catalogo-service) foi mantido como único ponto de entrada público (porta 8217), enquanto toda a lógica de identidade, login, cadastro de novos usuários e redefinição de senha foi isolada no novo auth-service (porta interna 4000).</w:t>
        <w:br w:type="textWrapping"/>
        <w:br w:type="textWrapping"/>
        <w:t xml:space="preserve">O auth-service não expõe portas ao host, comunicando-se exclusivamente pela rede interna Docker app_network. Ele emite tokens JWT criptograficamente assinados contendo a identidade do usuário. O fluxo de recuperação de senha foi integrado ao serviço SMTP do Mailtrap para despacho de e-mails com tokens descartáveis com expiração de 30 minutos.</w:t>
      </w:r>
      <w:r w:rsidDel="00000000" w:rsidR="00000000" w:rsidRPr="00000000">
        <w:rPr>
          <w:rtl w:val="0"/>
        </w:rPr>
      </w:r>
    </w:p>
    <w:tbl>
      <w:tblPr>
        <w:tblStyle w:val="Table16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93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3857625" cy="361950"/>
                  <wp:effectExtent b="0" l="0" r="0" t="0"/>
                  <wp:docPr id="19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625" cy="361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12: Atividade 3 – Entrega do Commit</w:t>
      </w:r>
      <w:r w:rsidDel="00000000" w:rsidR="00000000" w:rsidRPr="00000000">
        <w:rPr>
          <w:rtl w:val="0"/>
        </w:rPr>
      </w:r>
    </w:p>
    <w:tbl>
      <w:tblPr>
        <w:tblStyle w:val="Table17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95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4216400"/>
                  <wp:effectExtent b="0" l="0" r="0" t="0"/>
                  <wp:docPr id="26" name="image28.png"/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4216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13: Atividade 3 – Desacoplamento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18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97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711200"/>
                  <wp:effectExtent b="0" l="0" r="0" t="0"/>
                  <wp:docPr id="29" name="image24.png"/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71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14: Atividade 3 – Admin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148394852"/>
        <w:tag w:val="goog_rdk_5"/>
      </w:sdtPr>
      <w:sdtContent>
        <w:tbl>
          <w:tblPr>
            <w:tblStyle w:val="Table19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99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5734050" cy="533400"/>
                      <wp:effectExtent b="0" l="0" r="0" t="0"/>
                      <wp:docPr id="15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2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5334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15: Atividade 3 – User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2050053979"/>
        <w:tag w:val="goog_rdk_6"/>
      </w:sdtPr>
      <w:sdtContent>
        <w:tbl>
          <w:tblPr>
            <w:tblStyle w:val="Table20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9B">
                <w:pPr>
                  <w:spacing w:after="280" w:before="80" w:lineRule="auto"/>
                  <w:jc w:val="center"/>
                  <w:rPr/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sz w:val="19"/>
                    <w:szCs w:val="19"/>
                  </w:rPr>
                  <w:drawing>
                    <wp:inline distB="114300" distT="114300" distL="114300" distR="114300">
                      <wp:extent cx="5734050" cy="2755900"/>
                      <wp:effectExtent b="0" l="0" r="0" t="0"/>
                      <wp:docPr id="24" name="image19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9.png"/>
                              <pic:cNvPicPr preferRelativeResize="0"/>
                            </pic:nvPicPr>
                            <pic:blipFill>
                              <a:blip r:embed="rId2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27559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C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16: Atividade 3 – Email recuperar senha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1368453765"/>
        <w:tag w:val="goog_rdk_7"/>
      </w:sdtPr>
      <w:sdtContent>
        <w:tbl>
          <w:tblPr>
            <w:tblStyle w:val="Table21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9D">
                <w:pPr>
                  <w:spacing w:after="280" w:before="80" w:lineRule="auto"/>
                  <w:jc w:val="center"/>
                  <w:rPr/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sz w:val="19"/>
                    <w:szCs w:val="19"/>
                  </w:rPr>
                  <w:drawing>
                    <wp:inline distB="114300" distT="114300" distL="114300" distR="114300">
                      <wp:extent cx="5734050" cy="4508500"/>
                      <wp:effectExtent b="0" l="0" r="0" t="0"/>
                      <wp:docPr id="14" name="image1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5.png"/>
                              <pic:cNvPicPr preferRelativeResize="0"/>
                            </pic:nvPicPr>
                            <pic:blipFill>
                              <a:blip r:embed="rId23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34050" cy="45085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9E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17: Atividade 3 – Link de recuperar senha</w:t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2065559113"/>
        <w:tag w:val="goog_rdk_8"/>
      </w:sdtPr>
      <w:sdtContent>
        <w:tbl>
          <w:tblPr>
            <w:tblStyle w:val="Table22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9F">
                <w:pPr>
                  <w:spacing w:after="280" w:before="80" w:lineRule="auto"/>
                  <w:jc w:val="center"/>
                  <w:rPr/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sz w:val="19"/>
                    <w:szCs w:val="19"/>
                  </w:rPr>
                  <w:drawing>
                    <wp:inline distB="114300" distT="114300" distL="114300" distR="114300">
                      <wp:extent cx="4143375" cy="6486525"/>
                      <wp:effectExtent b="0" l="0" r="0" t="0"/>
                      <wp:docPr id="2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24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143375" cy="6486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0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18: Atividade 3 – Senha recuperada</w:t>
        <w:br w:type="textWrapping"/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-2142926714"/>
        <w:tag w:val="goog_rdk_9"/>
      </w:sdtPr>
      <w:sdtContent>
        <w:tbl>
          <w:tblPr>
            <w:tblStyle w:val="Table23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A1">
                <w:pPr>
                  <w:spacing w:after="280" w:before="80" w:lineRule="auto"/>
                  <w:jc w:val="center"/>
                  <w:rPr/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i w:val="1"/>
                    <w:iCs w:val="1"/>
                    <w:sz w:val="19"/>
                    <w:szCs w:val="19"/>
                  </w:rPr>
                  <w:drawing>
                    <wp:inline distB="114300" distT="114300" distL="114300" distR="114300">
                      <wp:extent cx="4267200" cy="2552700"/>
                      <wp:effectExtent b="0" l="0" r="0" t="0"/>
                      <wp:docPr id="27" name="image2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6.png"/>
                              <pic:cNvPicPr preferRelativeResize="0"/>
                            </pic:nvPicPr>
                            <pic:blipFill>
                              <a:blip r:embed="rId25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267200" cy="255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A2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19: Atividade 3 – Linx expirado/usado</w:t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Ajustar a comunicação segura entre contêineres na mesma rede virtual do Docker Compose sem depender de IPs estáticos. A resolução foi alcançada utilizando os nomes dos serviços como hostnames DNS internos do Docker (http://auth-service:4000).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4.4  Atividade 4 – Controle de acesso por papel – RBAC</w:t>
      </w:r>
      <w:r w:rsidDel="00000000" w:rsidR="00000000" w:rsidRPr="00000000">
        <w:rPr>
          <w:rtl w:val="0"/>
        </w:rPr>
      </w:r>
    </w:p>
    <w:tbl>
      <w:tblPr>
        <w:tblStyle w:val="Table24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O campo role passa a decidir permissões reais no backend (403 para usuário comum).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04/09/2026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01/09/2026 00:48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commits 6636f4d e a8e31ef + print do 403 e da ação de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https://github.com/LucasHiratuca/Entrega-da-Atividade/commit/6636f4d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Implementou-se o modelo de autorização Role-Based Access Control (RBAC) adotando o Padrão B (claims embutidas diretamente no payload do JWT). O campo role (usuario ou admin) trafega assinado no token, permitindo verificação instantânea no catalogo-service sem overhead de consultas repetidas ao banco de dados.</w:t>
        <w:br w:type="textWrapping"/>
        <w:br w:type="textWrapping"/>
        <w:t xml:space="preserve">Foram criados os middlewares requireLogin e requireAdmin. Usuários autenticados com perfil comum têm acesso restrito ao catálogo, favoritos e comentários próprios. Tentativas de acessar rotas de moderação ou painel de gestão de usuários (/admin/usuarios) são barradas com status HTTP 403 Forbidden diretamente na camada do servidor.</w:t>
      </w:r>
      <w:r w:rsidDel="00000000" w:rsidR="00000000" w:rsidRPr="00000000">
        <w:rPr>
          <w:rtl w:val="0"/>
        </w:rPr>
      </w:r>
    </w:p>
    <w:tbl>
      <w:tblPr>
        <w:tblStyle w:val="Table25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3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3705225" cy="342900"/>
                  <wp:effectExtent b="0" l="0" r="0" t="0"/>
                  <wp:docPr id="25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5225" cy="342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20 Atividade 4 – Evidência do Commit</w:t>
      </w:r>
      <w:r w:rsidDel="00000000" w:rsidR="00000000" w:rsidRPr="00000000">
        <w:rPr>
          <w:rtl w:val="0"/>
        </w:rPr>
      </w:r>
    </w:p>
    <w:tbl>
      <w:tblPr>
        <w:tblStyle w:val="Table26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5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2108200"/>
                  <wp:effectExtent b="0" l="0" r="0" t="0"/>
                  <wp:docPr id="4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2108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21: Atividade 4 –Tela de admin (Exclusiva da role)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27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7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2222500"/>
                  <wp:effectExtent b="0" l="0" r="0" t="0"/>
                  <wp:docPr id="23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2222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280" w:before="80" w:lineRule="auto"/>
        <w:jc w:val="center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72893584"/>
        <w:tag w:val="goog_rdk_10"/>
      </w:sdtPr>
      <w:sdtContent>
        <w:tbl>
          <w:tblPr>
            <w:tblStyle w:val="Table28"/>
            <w:tblW w:w="9418.0" w:type="dxa"/>
            <w:jc w:val="center"/>
            <w:tblLayout w:type="fixed"/>
            <w:tblLook w:val="0400"/>
          </w:tblPr>
          <w:tblGrid>
            <w:gridCol w:w="9418"/>
            <w:tblGridChange w:id="0">
              <w:tblGrid>
                <w:gridCol w:w="941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f1f5f9" w:val="clear"/>
                <w:tcMar>
                  <w:top w:w="350.0" w:type="dxa"/>
                  <w:left w:w="200.0" w:type="dxa"/>
                  <w:bottom w:w="350.0" w:type="dxa"/>
                  <w:right w:w="200.0" w:type="dxa"/>
                </w:tcMar>
              </w:tcPr>
              <w:p w:rsidR="00000000" w:rsidDel="00000000" w:rsidP="00000000" w:rsidRDefault="00000000" w:rsidRPr="00000000" w14:paraId="000000B9">
                <w:pPr>
                  <w:spacing w:after="80" w:lineRule="auto"/>
                  <w:jc w:val="center"/>
                  <w:rPr/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color w:val="64748b"/>
                  </w:rPr>
                  <w:drawing>
                    <wp:inline distB="114300" distT="114300" distL="114300" distR="114300">
                      <wp:extent cx="1876425" cy="990600"/>
                      <wp:effectExtent b="0" l="0" r="0" t="0"/>
                      <wp:docPr id="10" name="image2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1.png"/>
                              <pic:cNvPicPr preferRelativeResize="0"/>
                            </pic:nvPicPr>
                            <pic:blipFill>
                              <a:blip r:embed="rId2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76425" cy="9906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BA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br w:type="textWrapping"/>
        <w:t xml:space="preserve">Figura 22-23: Atividade 4 – Favoritos ilimitados (Exclusiva Admin)</w:t>
      </w:r>
      <w:r w:rsidDel="00000000" w:rsidR="00000000" w:rsidRPr="00000000">
        <w:rPr>
          <w:rtl w:val="0"/>
        </w:rPr>
      </w:r>
    </w:p>
    <w:tbl>
      <w:tblPr>
        <w:tblStyle w:val="Table29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B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1054100"/>
                  <wp:effectExtent b="0" l="0" r="0" t="0"/>
                  <wp:docPr id="18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1054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24: Atividade 4 –User não pode ver tela de admin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30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D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952500"/>
                  <wp:effectExtent b="0" l="0" r="0" t="0"/>
                  <wp:docPr id="20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952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spacing w:after="280" w:before="80" w:lineRule="auto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BF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1876425" cy="990600"/>
                  <wp:effectExtent b="0" l="0" r="0" t="0"/>
                  <wp:docPr id="21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990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br w:type="textWrapping"/>
        <w:t xml:space="preserve">Figura 25-26: Atividade 4 – Limite de 15 favoritos em user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80" w:before="80" w:lineRule="auto"/>
        <w:jc w:val="center"/>
        <w:rPr>
          <w:rFonts w:ascii="Times New Roman" w:cs="Times New Roman" w:eastAsia="Times New Roman" w:hAnsi="Times New Roman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80" w:before="80" w:lineRule="auto"/>
        <w:jc w:val="center"/>
        <w:rPr>
          <w:rFonts w:ascii="Times New Roman" w:cs="Times New Roman" w:eastAsia="Times New Roman" w:hAnsi="Times New Roman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80" w:before="80" w:lineRule="auto"/>
        <w:jc w:val="center"/>
        <w:rPr>
          <w:rFonts w:ascii="Times New Roman" w:cs="Times New Roman" w:eastAsia="Times New Roman" w:hAnsi="Times New Roman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Garantir que tipos de dados inteiros para userId não causassem falhas na comparação estrita (===) no JavaScript. Foi adotado parsing consistente com parseInt() em todos os middlewares e controladores de permissão.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4.5  Atividade 5 – Logs e auditoria</w:t>
      </w:r>
      <w:r w:rsidDel="00000000" w:rsidR="00000000" w:rsidRPr="00000000">
        <w:rPr>
          <w:rtl w:val="0"/>
        </w:rPr>
      </w:r>
    </w:p>
    <w:tbl>
      <w:tblPr>
        <w:tblStyle w:val="Table32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Novo log-service com Redis registrando login, ações sensíveis e tentativas negadas.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08/09/2026 12:57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commits e6c6682 e 8bc9faa + print da consulta de logs pelo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https://github.com/LucasHiratuca/Entrega-da-Atividade/commit/e6c6682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Foi introduzido um terceiro microsserviço dedicado, o log-service (porta 5000), acoplado a uma instância do Redis 7. O serviço implementa ingestão assíncrona de eventos via HTTP POST, persistindo as entradas de auditoria na estrutura de alta performance Redis Streams.</w:t>
        <w:br w:type="textWrapping"/>
        <w:br w:type="textWrapping"/>
        <w:t xml:space="preserve">O catalogo-service consome o utilitário de auditoria registrando eventos críticos: logins com sucesso, encerramentos de sessão, falhas de autenticação, exclusão de comentários e edições de perfil. A interface /admin/logs foi criada com restrição exclusiva a administradores para visualização e filtragem cronológica reversa dos registros em tempo real.</w:t>
        <w:br w:type="textWrapping"/>
        <w:br w:type="textWrapping"/>
        <w:t xml:space="preserve">A tela de log tem acesso restrito para apenas user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s que tem cargo de Admin, por meio de um botão que aparece na tela exclusiva dos administradores. Como mostrado na entrega anterior, um usuário padrão não consegue ter acesso à tela especial dos admins</w:t>
      </w:r>
      <w:r w:rsidDel="00000000" w:rsidR="00000000" w:rsidRPr="00000000">
        <w:rPr>
          <w:rtl w:val="0"/>
        </w:rPr>
      </w:r>
    </w:p>
    <w:tbl>
      <w:tblPr>
        <w:tblStyle w:val="Table33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D5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4305300" cy="542925"/>
                  <wp:effectExtent b="0" l="0" r="0" t="0"/>
                  <wp:docPr id="1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5429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27: Atividade 5 – Evidência do Commit</w:t>
      </w:r>
      <w:r w:rsidDel="00000000" w:rsidR="00000000" w:rsidRPr="00000000">
        <w:rPr>
          <w:rtl w:val="0"/>
        </w:rPr>
      </w:r>
    </w:p>
    <w:tbl>
      <w:tblPr>
        <w:tblStyle w:val="Table34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rHeight w:val="5474.56787109375" w:hRule="atLeast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D7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3187700"/>
                  <wp:effectExtent b="0" l="0" r="0" t="0"/>
                  <wp:docPr id="9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3187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28: Atividade 5 – Logs (Apenas admins)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Garantir a sobrevivência dos logs a reinicializações de contêineres. Foi configurado um volume nomeado persistente para o contêiner do Redis no docker-compose.yml, além de timeout não-bloqueante no envio de logs para evitar impacto na experiência do usuário final caso o Redis ficasse temporariamente indisponível.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4"/>
          <w:szCs w:val="24"/>
          <w:rtl w:val="0"/>
        </w:rPr>
        <w:t xml:space="preserve">4.6  Atividade 6 – Upload e perfil de usuário</w:t>
      </w:r>
      <w:r w:rsidDel="00000000" w:rsidR="00000000" w:rsidRPr="00000000">
        <w:rPr>
          <w:rtl w:val="0"/>
        </w:rPr>
      </w:r>
    </w:p>
    <w:tbl>
      <w:tblPr>
        <w:tblStyle w:val="Table35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Página de perfil com avatar no Garage S3; só a referência fica no banco relacional.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planejada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02/10/2026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Data realizada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26/09/2026 15:11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Situação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66534"/>
                <w:sz w:val="19"/>
                <w:szCs w:val="19"/>
                <w:rtl w:val="0"/>
              </w:rPr>
              <w:t xml:space="preserve">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Evidência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GitHub – commits 4219f05, 27856a8 e 8ca3fb6 + print do perfil com foto + SECURITY_AUDIT.md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sz w:val="17"/>
                <w:szCs w:val="17"/>
                <w:rtl w:val="0"/>
              </w:rPr>
              <w:t xml:space="preserve">https://github.com/LucasHiratuca/Entrega-da-Atividade/commit/27856a8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O que foi feito.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Construção da página de perfil com suporte a upload de foto de avatar persistida em object storage. Foi integrado o Garage S3 (dxflrs/garage:v1.0.1), um engine leve e distribuído escrito em Rust compatível com AWS S3 API (Signature V4). A tabela perfis no MariaDB armazena apenas a biografia e a chave textual do objeto (foto_key), desacoplando o binário do banco relacional.</w:t>
        <w:br w:type="textWrapping"/>
        <w:br w:type="textWrapping"/>
        <w:t xml:space="preserve">A entrega da imagem foi arquitetada via streaming seguro pelo backend (/perfil/:userId/foto): o catalogo-service obtém o stream do Garage S3 via rede interna e o devolve ao navegador com cabeçalhos HTTP adequados (Content-Type validado e Cache-Control). O upload exige validação de MIME type (JPEG/PNG/WebP/GIF), limite de 5MB e geração de nomes via randomUUID(). Foi realizada ainda auditoria OWASP Top 10 com 100% de aprovação e remediação do CWE-640 (Password Reset Poisoning).</w:t>
      </w:r>
      <w:r w:rsidDel="00000000" w:rsidR="00000000" w:rsidRPr="00000000">
        <w:rPr>
          <w:rtl w:val="0"/>
        </w:rPr>
      </w:r>
    </w:p>
    <w:tbl>
      <w:tblPr>
        <w:tblStyle w:val="Table36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EA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5734050" cy="444500"/>
                  <wp:effectExtent b="0" l="0" r="0" t="0"/>
                  <wp:docPr id="8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405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29: Atividade 6 – Evidência do Commit</w:t>
      </w:r>
      <w:r w:rsidDel="00000000" w:rsidR="00000000" w:rsidRPr="00000000">
        <w:rPr>
          <w:rtl w:val="0"/>
        </w:rPr>
      </w:r>
    </w:p>
    <w:tbl>
      <w:tblPr>
        <w:tblStyle w:val="Table37"/>
        <w:tblW w:w="9418.0" w:type="dxa"/>
        <w:jc w:val="center"/>
        <w:tblLayout w:type="fixed"/>
        <w:tblLook w:val="0400"/>
      </w:tblPr>
      <w:tblGrid>
        <w:gridCol w:w="9418"/>
        <w:tblGridChange w:id="0">
          <w:tblGrid>
            <w:gridCol w:w="9418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350.0" w:type="dxa"/>
              <w:left w:w="200.0" w:type="dxa"/>
              <w:bottom w:w="350.0" w:type="dxa"/>
              <w:right w:w="200.0" w:type="dxa"/>
            </w:tcMar>
          </w:tcPr>
          <w:p w:rsidR="00000000" w:rsidDel="00000000" w:rsidP="00000000" w:rsidRDefault="00000000" w:rsidRPr="00000000" w14:paraId="000000EC">
            <w:pPr>
              <w:spacing w:after="8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64748b"/>
              </w:rPr>
              <w:drawing>
                <wp:inline distB="114300" distT="114300" distL="114300" distR="114300">
                  <wp:extent cx="3857625" cy="2219325"/>
                  <wp:effectExtent b="0" l="0" r="0" t="0"/>
                  <wp:docPr id="30" name="image29.png"/>
                  <a:graphic>
                    <a:graphicData uri="http://schemas.openxmlformats.org/drawingml/2006/picture">
                      <pic:pic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625" cy="22193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spacing w:after="280" w:before="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19"/>
          <w:szCs w:val="19"/>
          <w:rtl w:val="0"/>
        </w:rPr>
        <w:t xml:space="preserve">Figura 30: Atividade 6 –Foto de perfil + bio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Dificuldades e como foram resolvidas.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Em outubro de 2025, a imagem oficial do MinIO foi descontinuada do Docker Hub, motivando a migração definitiva para o Garage S3. Além disso, URLs pré-assinadas geravam links com o host interno do contêiner (garage:3900), inacessível aos navegadores dos clientes. A substituição por streaming direto no backend resolveu a compatibilidade universalmente em ambientes locais e Cloudflare.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5  Considerações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O percurso de desenvolvimento percorrido ao longo do primeiro bimestre de ISW055 permitiu consolidar na prática os fundamentos de arquiteturas em nuvem modernas. A transição de um script inicial monolítico em Python para um ecossistema completo composto por microsserviços conteinerizados em Node.js, mensageria com Redis e storage compatível com S3 proporcionou um aprendizado expressivo sobre segregação de responsabilidades e resiliência.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A maior complexidade encontrada ocorreu na Atividade 6, onde a descontinuidade do MinIO no Docker Hub exigiu adaptabilidade imediata para selecionar, configurar e implantar o Garage S3 em Rust, ajustando o layout de cluster e o roteamento interno de rede. Essa experiência evidenciou o valor de adotar padrões abertos de mercado (como a S3 API), permitindo trocar a engine de armazenamento sem alterar as rotas da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Como aprendizado contínuo, destaca-se a relevância de conceber sistemas com foco em segurança desde a camada de design (Security by Design). A auditoria baseada no OWASP Top 10 permitiu antecipar vetores de ataque como enumeração de credenciais e envenenamento de links. Para o segundo bimestre, pretende-se aprofundar na instrumentação de métricas com Prometheus e automação de pipelines de entrega contínua (CI/CD).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before="24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e293b"/>
          <w:sz w:val="28"/>
          <w:szCs w:val="28"/>
          <w:rtl w:val="0"/>
        </w:rPr>
        <w:t xml:space="preserve">6  Declaração de autoria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1"/>
          <w:szCs w:val="21"/>
          <w:rtl w:val="0"/>
        </w:rPr>
        <w:t xml:space="preserve">Declaro que este relatório foi elaborado por mim, individualmente, e que as evidências apresentadas correspondem a entregas de minha autoria, verificáveis nos links informados. Nas atividades realizadas em grupo, o conteúdo aqui descrito refere-se à minha participação.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before="1200" w:lineRule="auto"/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418.0" w:type="dxa"/>
        <w:jc w:val="center"/>
        <w:tblLayout w:type="fixed"/>
        <w:tblLook w:val="0400"/>
      </w:tblPr>
      <w:tblGrid>
        <w:gridCol w:w="4709"/>
        <w:gridCol w:w="4709"/>
        <w:tblGridChange w:id="0">
          <w:tblGrid>
            <w:gridCol w:w="4709"/>
            <w:gridCol w:w="470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color w:val="64748b"/>
                <w:rtl w:val="0"/>
              </w:rPr>
              <w:t xml:space="preserve">_________________________________________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Lucas Hiratuca</w:t>
              <w:br w:type="textWrapping"/>
            </w:r>
            <w:r w:rsidDel="00000000" w:rsidR="00000000" w:rsidRPr="00000000">
              <w:rPr>
                <w:rtl w:val="0"/>
              </w:rPr>
              <w:t xml:space="preserve">Aluno(a)</w:t>
            </w:r>
          </w:p>
        </w:tc>
        <w:tc>
          <w:tcPr/>
          <w:p w:rsidR="00000000" w:rsidDel="00000000" w:rsidP="00000000" w:rsidRDefault="00000000" w:rsidRPr="00000000" w14:paraId="000000F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br w:type="textWrapping"/>
              <w:br w:type="textWrapping"/>
              <w:t xml:space="preserve">Pompeia, 07/10/2026</w:t>
            </w:r>
          </w:p>
        </w:tc>
      </w:tr>
    </w:tbl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1" w:top="1411" w:left="1411" w:right="141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urier New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4.png"/><Relationship Id="rId22" Type="http://schemas.openxmlformats.org/officeDocument/2006/relationships/image" Target="media/image19.png"/><Relationship Id="rId21" Type="http://schemas.openxmlformats.org/officeDocument/2006/relationships/image" Target="media/image4.png"/><Relationship Id="rId24" Type="http://schemas.openxmlformats.org/officeDocument/2006/relationships/image" Target="media/image7.png"/><Relationship Id="rId23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2.png"/><Relationship Id="rId26" Type="http://schemas.openxmlformats.org/officeDocument/2006/relationships/image" Target="media/image23.png"/><Relationship Id="rId25" Type="http://schemas.openxmlformats.org/officeDocument/2006/relationships/image" Target="media/image26.png"/><Relationship Id="rId28" Type="http://schemas.openxmlformats.org/officeDocument/2006/relationships/image" Target="media/image20.png"/><Relationship Id="rId27" Type="http://schemas.openxmlformats.org/officeDocument/2006/relationships/image" Target="media/image1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21.png"/><Relationship Id="rId7" Type="http://schemas.openxmlformats.org/officeDocument/2006/relationships/image" Target="media/image2.png"/><Relationship Id="rId8" Type="http://schemas.openxmlformats.org/officeDocument/2006/relationships/image" Target="media/image10.png"/><Relationship Id="rId31" Type="http://schemas.openxmlformats.org/officeDocument/2006/relationships/image" Target="media/image14.png"/><Relationship Id="rId30" Type="http://schemas.openxmlformats.org/officeDocument/2006/relationships/image" Target="media/image16.png"/><Relationship Id="rId11" Type="http://schemas.openxmlformats.org/officeDocument/2006/relationships/image" Target="media/image8.png"/><Relationship Id="rId33" Type="http://schemas.openxmlformats.org/officeDocument/2006/relationships/image" Target="media/image9.png"/><Relationship Id="rId10" Type="http://schemas.openxmlformats.org/officeDocument/2006/relationships/image" Target="media/image18.png"/><Relationship Id="rId32" Type="http://schemas.openxmlformats.org/officeDocument/2006/relationships/image" Target="media/image3.png"/><Relationship Id="rId13" Type="http://schemas.openxmlformats.org/officeDocument/2006/relationships/image" Target="media/image27.png"/><Relationship Id="rId35" Type="http://schemas.openxmlformats.org/officeDocument/2006/relationships/image" Target="media/image29.png"/><Relationship Id="rId12" Type="http://schemas.openxmlformats.org/officeDocument/2006/relationships/image" Target="media/image5.png"/><Relationship Id="rId34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5.png"/><Relationship Id="rId17" Type="http://schemas.openxmlformats.org/officeDocument/2006/relationships/image" Target="media/image12.png"/><Relationship Id="rId16" Type="http://schemas.openxmlformats.org/officeDocument/2006/relationships/image" Target="media/image1.png"/><Relationship Id="rId19" Type="http://schemas.openxmlformats.org/officeDocument/2006/relationships/image" Target="media/image28.png"/><Relationship Id="rId1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xKD0auWzH+D7dCi6dFGskizdFg==">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