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A5" w:rsidRDefault="00980DA5"/>
    <w:p w:rsidR="00E422F3" w:rsidRDefault="00E422F3"/>
    <w:p w:rsidR="00E422F3" w:rsidRDefault="00E422F3"/>
    <w:p w:rsidR="00E422F3" w:rsidRDefault="00E422F3"/>
    <w:p w:rsidR="00E422F3" w:rsidRDefault="00E422F3" w:rsidP="00E422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Manual de Utilização do Software</w:t>
      </w:r>
    </w:p>
    <w:p w:rsidR="00E422F3" w:rsidRDefault="00E422F3" w:rsidP="00E422F3">
      <w:pPr>
        <w:jc w:val="center"/>
        <w:rPr>
          <w:rFonts w:ascii="Arial" w:hAnsi="Arial" w:cs="Arial"/>
          <w:b/>
          <w:sz w:val="40"/>
          <w:szCs w:val="40"/>
        </w:rPr>
      </w:pPr>
    </w:p>
    <w:p w:rsidR="00E422F3" w:rsidRDefault="00E422F3" w:rsidP="00E422F3">
      <w:pPr>
        <w:jc w:val="center"/>
        <w:rPr>
          <w:rFonts w:ascii="Arial" w:hAnsi="Arial" w:cs="Arial"/>
          <w:b/>
          <w:sz w:val="40"/>
          <w:szCs w:val="40"/>
        </w:rPr>
      </w:pP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 xml:space="preserve">NMR </w:t>
      </w:r>
      <w:proofErr w:type="spellStart"/>
      <w:r>
        <w:rPr>
          <w:rFonts w:ascii="Arial" w:hAnsi="Arial" w:cs="Arial"/>
          <w:b/>
          <w:sz w:val="50"/>
          <w:szCs w:val="50"/>
        </w:rPr>
        <w:t>Controller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Interface</w:t>
      </w: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E422F3" w:rsidRDefault="00E422F3" w:rsidP="00E422F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Versão 1.0</w:t>
      </w:r>
    </w:p>
    <w:p w:rsidR="00E422F3" w:rsidRPr="00E422F3" w:rsidRDefault="00E422F3" w:rsidP="00E422F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04/12/2014</w:t>
      </w: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E422F3" w:rsidRDefault="00E422F3" w:rsidP="00E422F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Lucas Igor Balthazar</w:t>
      </w:r>
    </w:p>
    <w:p w:rsidR="00E422F3" w:rsidRPr="00E422F3" w:rsidRDefault="00E422F3" w:rsidP="00E422F3">
      <w:pPr>
        <w:jc w:val="center"/>
        <w:rPr>
          <w:rFonts w:ascii="Arial" w:hAnsi="Arial" w:cs="Arial"/>
          <w:sz w:val="40"/>
          <w:szCs w:val="40"/>
        </w:rPr>
      </w:pPr>
      <w:hyperlink r:id="rId8" w:history="1">
        <w:r w:rsidRPr="00E422F3">
          <w:rPr>
            <w:rStyle w:val="Hyperlink"/>
            <w:rFonts w:ascii="Arial" w:hAnsi="Arial" w:cs="Arial"/>
            <w:color w:val="auto"/>
            <w:sz w:val="40"/>
            <w:szCs w:val="40"/>
            <w:u w:val="none"/>
          </w:rPr>
          <w:t>lucas.balthazar@lnls.br</w:t>
        </w:r>
      </w:hyperlink>
    </w:p>
    <w:p w:rsidR="00E422F3" w:rsidRPr="00E422F3" w:rsidRDefault="00E422F3" w:rsidP="00E422F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Grupo IMA</w:t>
      </w: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E422F3" w:rsidRDefault="00E422F3" w:rsidP="00E422F3">
      <w:pPr>
        <w:jc w:val="center"/>
        <w:rPr>
          <w:rFonts w:ascii="Arial" w:hAnsi="Arial" w:cs="Arial"/>
          <w:b/>
          <w:sz w:val="50"/>
          <w:szCs w:val="50"/>
        </w:rPr>
      </w:pPr>
    </w:p>
    <w:p w:rsidR="009B63A0" w:rsidRPr="005A40FB" w:rsidRDefault="009B63A0" w:rsidP="009B63A0">
      <w:pPr>
        <w:jc w:val="center"/>
        <w:rPr>
          <w:sz w:val="40"/>
          <w:szCs w:val="40"/>
        </w:rPr>
      </w:pPr>
      <w:r w:rsidRPr="005A40FB">
        <w:rPr>
          <w:sz w:val="40"/>
          <w:szCs w:val="40"/>
        </w:rPr>
        <w:lastRenderedPageBreak/>
        <w:t>Histórico de Revisões</w:t>
      </w:r>
    </w:p>
    <w:p w:rsidR="009B63A0" w:rsidRPr="005A40FB" w:rsidRDefault="009B63A0" w:rsidP="009B63A0">
      <w:pPr>
        <w:jc w:val="center"/>
      </w:pPr>
    </w:p>
    <w:tbl>
      <w:tblPr>
        <w:tblW w:w="83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6783"/>
      </w:tblGrid>
      <w:tr w:rsidR="009B63A0" w:rsidTr="00DF4194">
        <w:tblPrEx>
          <w:tblCellMar>
            <w:top w:w="0" w:type="dxa"/>
            <w:bottom w:w="0" w:type="dxa"/>
          </w:tblCellMar>
        </w:tblPrEx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3A0" w:rsidRPr="009B63A0" w:rsidRDefault="009B63A0" w:rsidP="00DF4194">
            <w:pPr>
              <w:pStyle w:val="TableContents"/>
              <w:rPr>
                <w:rFonts w:ascii="Arial" w:hAnsi="Arial" w:cs="Arial"/>
                <w:b/>
                <w:bCs/>
              </w:rPr>
            </w:pPr>
            <w:proofErr w:type="spellStart"/>
            <w:r w:rsidRPr="009B63A0">
              <w:rPr>
                <w:rFonts w:ascii="Arial" w:hAnsi="Arial" w:cs="Arial"/>
                <w:b/>
                <w:bCs/>
              </w:rPr>
              <w:t>Revisão</w:t>
            </w:r>
            <w:proofErr w:type="spellEnd"/>
          </w:p>
        </w:tc>
        <w:tc>
          <w:tcPr>
            <w:tcW w:w="6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3A0" w:rsidRPr="009B63A0" w:rsidRDefault="009B63A0" w:rsidP="00DF4194">
            <w:pPr>
              <w:pStyle w:val="TableContents"/>
              <w:rPr>
                <w:rFonts w:ascii="Arial" w:hAnsi="Arial" w:cs="Arial"/>
                <w:b/>
                <w:bCs/>
              </w:rPr>
            </w:pPr>
            <w:proofErr w:type="spellStart"/>
            <w:r w:rsidRPr="009B63A0">
              <w:rPr>
                <w:rFonts w:ascii="Arial" w:hAnsi="Arial" w:cs="Arial"/>
                <w:b/>
                <w:bCs/>
              </w:rPr>
              <w:t>Mudanças</w:t>
            </w:r>
            <w:proofErr w:type="spellEnd"/>
          </w:p>
        </w:tc>
      </w:tr>
      <w:tr w:rsidR="009B63A0" w:rsidTr="00DF4194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15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3A0" w:rsidRPr="009B63A0" w:rsidRDefault="009B63A0" w:rsidP="00DF4194">
            <w:pPr>
              <w:pStyle w:val="TableContents"/>
              <w:rPr>
                <w:rFonts w:ascii="Arial" w:hAnsi="Arial" w:cs="Arial"/>
              </w:rPr>
            </w:pPr>
            <w:r w:rsidRPr="009B63A0">
              <w:rPr>
                <w:rFonts w:ascii="Arial" w:hAnsi="Arial" w:cs="Arial"/>
              </w:rPr>
              <w:t>1.0</w:t>
            </w:r>
          </w:p>
          <w:p w:rsidR="009B63A0" w:rsidRPr="009B63A0" w:rsidRDefault="009B63A0" w:rsidP="009B63A0">
            <w:pPr>
              <w:pStyle w:val="TableContents"/>
              <w:rPr>
                <w:rFonts w:ascii="Arial" w:hAnsi="Arial" w:cs="Arial"/>
              </w:rPr>
            </w:pPr>
            <w:r w:rsidRPr="009B63A0">
              <w:rPr>
                <w:rFonts w:ascii="Arial" w:hAnsi="Arial" w:cs="Arial"/>
              </w:rPr>
              <w:t>0</w:t>
            </w:r>
            <w:r w:rsidRPr="009B63A0">
              <w:rPr>
                <w:rFonts w:ascii="Arial" w:hAnsi="Arial" w:cs="Arial"/>
              </w:rPr>
              <w:t>4/12</w:t>
            </w:r>
            <w:r w:rsidRPr="009B63A0">
              <w:rPr>
                <w:rFonts w:ascii="Arial" w:hAnsi="Arial" w:cs="Arial"/>
              </w:rPr>
              <w:t>/2014</w:t>
            </w:r>
          </w:p>
        </w:tc>
        <w:tc>
          <w:tcPr>
            <w:tcW w:w="6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63A0" w:rsidRPr="009B63A0" w:rsidRDefault="009B63A0" w:rsidP="00DF4194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B63A0">
              <w:rPr>
                <w:rFonts w:ascii="Arial" w:hAnsi="Arial" w:cs="Arial"/>
              </w:rPr>
              <w:t>Versão</w:t>
            </w:r>
            <w:proofErr w:type="spellEnd"/>
            <w:r w:rsidRPr="009B63A0">
              <w:rPr>
                <w:rFonts w:ascii="Arial" w:hAnsi="Arial" w:cs="Arial"/>
              </w:rPr>
              <w:t xml:space="preserve"> </w:t>
            </w:r>
            <w:proofErr w:type="spellStart"/>
            <w:r w:rsidRPr="009B63A0">
              <w:rPr>
                <w:rFonts w:ascii="Arial" w:hAnsi="Arial" w:cs="Arial"/>
              </w:rPr>
              <w:t>Inicial</w:t>
            </w:r>
            <w:proofErr w:type="spellEnd"/>
            <w:r w:rsidRPr="009B63A0">
              <w:rPr>
                <w:rFonts w:ascii="Arial" w:hAnsi="Arial" w:cs="Arial"/>
              </w:rPr>
              <w:t>.</w:t>
            </w:r>
          </w:p>
        </w:tc>
      </w:tr>
    </w:tbl>
    <w:p w:rsidR="00E422F3" w:rsidRDefault="00E422F3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E422F3">
      <w:pPr>
        <w:jc w:val="both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SUMÁRIO</w:t>
      </w: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Default="009B63A0" w:rsidP="009B63A0">
      <w:pPr>
        <w:jc w:val="center"/>
        <w:rPr>
          <w:rFonts w:ascii="Arial" w:hAnsi="Arial" w:cs="Arial"/>
          <w:b/>
          <w:sz w:val="24"/>
          <w:szCs w:val="24"/>
        </w:rPr>
      </w:pPr>
    </w:p>
    <w:p w:rsidR="009B63A0" w:rsidRPr="009B63A0" w:rsidRDefault="009B63A0" w:rsidP="009B63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9B63A0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9B63A0" w:rsidRDefault="009B63A0" w:rsidP="009B63A0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:rsidR="008F7D78" w:rsidRDefault="009B63A0" w:rsidP="00BC5CBB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caracterização dos ímã</w:t>
      </w:r>
      <w:r w:rsidR="00BC5CBB">
        <w:rPr>
          <w:rFonts w:ascii="Arial" w:hAnsi="Arial" w:cs="Arial"/>
          <w:sz w:val="24"/>
          <w:szCs w:val="24"/>
        </w:rPr>
        <w:t xml:space="preserve">s, dipolos, quadrupolos, </w:t>
      </w:r>
      <w:proofErr w:type="spellStart"/>
      <w:r w:rsidR="00BC5CBB">
        <w:rPr>
          <w:rFonts w:ascii="Arial" w:hAnsi="Arial" w:cs="Arial"/>
          <w:sz w:val="24"/>
          <w:szCs w:val="24"/>
        </w:rPr>
        <w:t>sextupo</w:t>
      </w:r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e afins é necessário o domínio </w:t>
      </w:r>
      <w:r w:rsidR="00BC5CBB">
        <w:rPr>
          <w:rFonts w:ascii="Arial" w:hAnsi="Arial" w:cs="Arial"/>
          <w:sz w:val="24"/>
          <w:szCs w:val="24"/>
        </w:rPr>
        <w:t>exato do campo gerado pelo</w:t>
      </w:r>
      <w:r w:rsidR="00AA71DC">
        <w:rPr>
          <w:rFonts w:ascii="Arial" w:hAnsi="Arial" w:cs="Arial"/>
          <w:sz w:val="24"/>
          <w:szCs w:val="24"/>
        </w:rPr>
        <w:t>s</w:t>
      </w:r>
      <w:r w:rsidR="00BC5CBB">
        <w:rPr>
          <w:rFonts w:ascii="Arial" w:hAnsi="Arial" w:cs="Arial"/>
          <w:sz w:val="24"/>
          <w:szCs w:val="24"/>
        </w:rPr>
        <w:t xml:space="preserve"> </w:t>
      </w:r>
      <w:r w:rsidR="00AA71DC">
        <w:rPr>
          <w:rFonts w:ascii="Arial" w:hAnsi="Arial" w:cs="Arial"/>
          <w:sz w:val="24"/>
          <w:szCs w:val="24"/>
        </w:rPr>
        <w:t xml:space="preserve">magnetos assim como as intensidades das linhas de campo magnético ao longo de sua extensão. Embora </w:t>
      </w:r>
      <w:r w:rsidR="008F7D78">
        <w:rPr>
          <w:rFonts w:ascii="Arial" w:hAnsi="Arial" w:cs="Arial"/>
          <w:sz w:val="24"/>
          <w:szCs w:val="24"/>
        </w:rPr>
        <w:t xml:space="preserve">alguns desses </w:t>
      </w:r>
      <w:r w:rsidR="00AA71DC">
        <w:rPr>
          <w:rFonts w:ascii="Arial" w:hAnsi="Arial" w:cs="Arial"/>
          <w:sz w:val="24"/>
          <w:szCs w:val="24"/>
        </w:rPr>
        <w:t xml:space="preserve">ímãs tenham sua intensidade magnética controlada pela corrente que atravessa a bobina, é fundamental mensurar o campo gerado de maneira precisa </w:t>
      </w:r>
      <w:r w:rsidR="008F7D78">
        <w:rPr>
          <w:rFonts w:ascii="Arial" w:hAnsi="Arial" w:cs="Arial"/>
          <w:sz w:val="24"/>
          <w:szCs w:val="24"/>
        </w:rPr>
        <w:t>independentemente da finalidade.</w:t>
      </w:r>
    </w:p>
    <w:p w:rsidR="009B63A0" w:rsidRPr="009B63A0" w:rsidRDefault="008F7D78" w:rsidP="00BC5CBB">
      <w:pPr>
        <w:spacing w:line="36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realização de medidas magnéticas</w:t>
      </w:r>
      <w:bookmarkStart w:id="0" w:name="_GoBack"/>
      <w:bookmarkEnd w:id="0"/>
    </w:p>
    <w:sectPr w:rsidR="009B63A0" w:rsidRPr="009B63A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05" w:rsidRDefault="002A4505" w:rsidP="00E422F3">
      <w:pPr>
        <w:spacing w:after="0" w:line="240" w:lineRule="auto"/>
      </w:pPr>
      <w:r>
        <w:separator/>
      </w:r>
    </w:p>
  </w:endnote>
  <w:endnote w:type="continuationSeparator" w:id="0">
    <w:p w:rsidR="002A4505" w:rsidRDefault="002A4505" w:rsidP="00E4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F3" w:rsidRPr="005A40FB" w:rsidRDefault="00E422F3" w:rsidP="00E422F3">
    <w:pPr>
      <w:pStyle w:val="Rodap"/>
      <w:tabs>
        <w:tab w:val="center" w:pos="4534"/>
      </w:tabs>
      <w:ind w:left="-285" w:right="-285"/>
      <w:jc w:val="center"/>
      <w:rPr>
        <w:rFonts w:ascii="Arial" w:hAnsi="Arial"/>
        <w:sz w:val="18"/>
        <w:szCs w:val="18"/>
      </w:rPr>
    </w:pPr>
    <w:r w:rsidRPr="005A40FB">
      <w:rPr>
        <w:rFonts w:ascii="Arial" w:hAnsi="Arial"/>
        <w:sz w:val="18"/>
        <w:szCs w:val="18"/>
      </w:rPr>
      <w:t>O LNLS integra o CNPEM, Organização Social qualificada pelo Ministério da C</w:t>
    </w:r>
    <w:r>
      <w:rPr>
        <w:rFonts w:ascii="Arial" w:hAnsi="Arial"/>
        <w:sz w:val="18"/>
        <w:szCs w:val="18"/>
      </w:rPr>
      <w:t xml:space="preserve">iência, Tecnologia e Inovação </w:t>
    </w:r>
    <w:r w:rsidRPr="005A40FB">
      <w:rPr>
        <w:rFonts w:ascii="Arial" w:hAnsi="Arial"/>
        <w:sz w:val="18"/>
        <w:szCs w:val="18"/>
      </w:rPr>
      <w:t xml:space="preserve">Campus: Rua Giuseppe Máximo </w:t>
    </w:r>
    <w:proofErr w:type="spellStart"/>
    <w:r w:rsidRPr="005A40FB">
      <w:rPr>
        <w:rFonts w:ascii="Arial" w:hAnsi="Arial"/>
        <w:sz w:val="18"/>
        <w:szCs w:val="18"/>
      </w:rPr>
      <w:t>Scolfaro</w:t>
    </w:r>
    <w:proofErr w:type="spellEnd"/>
    <w:r w:rsidRPr="005A40FB">
      <w:rPr>
        <w:rFonts w:ascii="Arial" w:hAnsi="Arial"/>
        <w:sz w:val="18"/>
        <w:szCs w:val="18"/>
      </w:rPr>
      <w:t>, 10.000 - Polo II de Alta Tecnologia - Caixa Postal 6192 - 13083-970 - Campinas/SP</w:t>
    </w:r>
    <w:r>
      <w:rPr>
        <w:rFonts w:ascii="Arial" w:hAnsi="Arial"/>
        <w:sz w:val="18"/>
        <w:szCs w:val="18"/>
      </w:rPr>
      <w:t xml:space="preserve"> </w:t>
    </w:r>
    <w:r w:rsidRPr="005A40FB">
      <w:rPr>
        <w:rFonts w:ascii="Arial" w:hAnsi="Arial"/>
        <w:sz w:val="18"/>
        <w:szCs w:val="18"/>
      </w:rPr>
      <w:t>Fone: +55.19.3512.</w:t>
    </w:r>
    <w:r>
      <w:rPr>
        <w:rFonts w:ascii="Arial" w:hAnsi="Arial"/>
        <w:sz w:val="18"/>
        <w:szCs w:val="18"/>
      </w:rPr>
      <w:t xml:space="preserve">1010 </w:t>
    </w:r>
    <w:r w:rsidRPr="005A40FB">
      <w:rPr>
        <w:rFonts w:ascii="Arial" w:hAnsi="Arial"/>
        <w:sz w:val="18"/>
        <w:szCs w:val="18"/>
      </w:rPr>
      <w:t>| Fax: +</w:t>
    </w:r>
    <w:r>
      <w:rPr>
        <w:rFonts w:ascii="Arial" w:hAnsi="Arial"/>
        <w:sz w:val="18"/>
        <w:szCs w:val="18"/>
      </w:rPr>
      <w:t>55.19.3512.1004 | www.lnls</w:t>
    </w:r>
    <w:r w:rsidRPr="005A40FB">
      <w:rPr>
        <w:rFonts w:ascii="Arial" w:hAnsi="Arial"/>
        <w:sz w:val="18"/>
        <w:szCs w:val="18"/>
      </w:rPr>
      <w:t>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05" w:rsidRDefault="002A4505" w:rsidP="00E422F3">
      <w:pPr>
        <w:spacing w:after="0" w:line="240" w:lineRule="auto"/>
      </w:pPr>
      <w:r>
        <w:separator/>
      </w:r>
    </w:p>
  </w:footnote>
  <w:footnote w:type="continuationSeparator" w:id="0">
    <w:p w:rsidR="002A4505" w:rsidRDefault="002A4505" w:rsidP="00E4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F3" w:rsidRDefault="00E422F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638E8F2" wp14:editId="604D6DB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274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icio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27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22F3" w:rsidRDefault="00E422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56F3D"/>
    <w:multiLevelType w:val="hybridMultilevel"/>
    <w:tmpl w:val="4B7A005C"/>
    <w:lvl w:ilvl="0" w:tplc="5BF8C6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906C9"/>
    <w:multiLevelType w:val="multilevel"/>
    <w:tmpl w:val="F87437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F3"/>
    <w:rsid w:val="002A4505"/>
    <w:rsid w:val="004F569F"/>
    <w:rsid w:val="008F7D78"/>
    <w:rsid w:val="00980DA5"/>
    <w:rsid w:val="009B63A0"/>
    <w:rsid w:val="00AA71DC"/>
    <w:rsid w:val="00BC5CBB"/>
    <w:rsid w:val="00E4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5BFA63-E5DC-4A10-B167-51461731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2F3"/>
  </w:style>
  <w:style w:type="paragraph" w:styleId="Rodap">
    <w:name w:val="footer"/>
    <w:basedOn w:val="Normal"/>
    <w:link w:val="RodapChar"/>
    <w:unhideWhenUsed/>
    <w:rsid w:val="00E422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2F3"/>
  </w:style>
  <w:style w:type="character" w:styleId="Hyperlink">
    <w:name w:val="Hyperlink"/>
    <w:basedOn w:val="Fontepargpadro"/>
    <w:uiPriority w:val="99"/>
    <w:unhideWhenUsed/>
    <w:rsid w:val="00E422F3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9B63A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argrafodaLista">
    <w:name w:val="List Paragraph"/>
    <w:basedOn w:val="Normal"/>
    <w:uiPriority w:val="34"/>
    <w:qFormat/>
    <w:rsid w:val="009B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balthazar@lnls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24B1-11D2-4400-A085-CE3302C5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CNPEM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Igor Balthazar</dc:creator>
  <cp:keywords/>
  <dc:description/>
  <cp:lastModifiedBy>Lucas Igor Balthazar</cp:lastModifiedBy>
  <cp:revision>1</cp:revision>
  <dcterms:created xsi:type="dcterms:W3CDTF">2014-12-04T14:23:00Z</dcterms:created>
  <dcterms:modified xsi:type="dcterms:W3CDTF">2014-12-04T18:19:00Z</dcterms:modified>
</cp:coreProperties>
</file>