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r>
    </w:p>
    <w:tbl>
      <w:tblPr>
        <w:tblW w:w="9210" w:type="dxa"/>
        <w:jc w:val="left"/>
        <w:tblInd w:w="0" w:type="dxa"/>
        <w:tblCellMar>
          <w:top w:w="0" w:type="dxa"/>
          <w:left w:w="108" w:type="dxa"/>
          <w:bottom w:w="0" w:type="dxa"/>
          <w:right w:w="108" w:type="dxa"/>
        </w:tblCellMar>
        <w:tblLook w:firstRow="1" w:noVBand="0" w:lastRow="1" w:firstColumn="1" w:lastColumn="1" w:noHBand="0" w:val="01e0"/>
      </w:tblPr>
      <w:tblGrid>
        <w:gridCol w:w="9210"/>
      </w:tblGrid>
      <w:tr>
        <w:trPr/>
        <w:tc>
          <w:tcPr>
            <w:tcW w:w="9210"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p>
            <w:pPr>
              <w:pStyle w:val="Normal"/>
              <w:jc w:val="center"/>
              <w:rPr>
                <w:sz w:val="28"/>
                <w:szCs w:val="28"/>
              </w:rPr>
            </w:pPr>
            <w:r>
              <w:rPr/>
              <w:drawing>
                <wp:inline distT="0" distB="0" distL="0" distR="0">
                  <wp:extent cx="2130425" cy="101790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2130425" cy="1017905"/>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b/>
                <w:b/>
                <w:sz w:val="32"/>
                <w:szCs w:val="32"/>
              </w:rPr>
            </w:pPr>
            <w:r>
              <w:rPr>
                <w:b/>
                <w:sz w:val="32"/>
                <w:szCs w:val="32"/>
              </w:rPr>
            </w:r>
          </w:p>
          <w:p>
            <w:pPr>
              <w:pStyle w:val="Normal"/>
              <w:jc w:val="center"/>
              <w:rPr>
                <w:b/>
                <w:b/>
                <w:bCs/>
                <w:sz w:val="32"/>
                <w:szCs w:val="32"/>
              </w:rPr>
            </w:pPr>
            <w:r>
              <w:rPr>
                <w:b/>
                <w:bCs/>
                <w:sz w:val="32"/>
                <w:szCs w:val="32"/>
              </w:rPr>
              <w:t xml:space="preserve">ESTIMATIVA DO VOLUME DE MADEIRA DE TECA UTILIZANDO REDES NEURAIS ARTIFICIAIS </w:t>
            </w:r>
          </w:p>
          <w:p>
            <w:pPr>
              <w:pStyle w:val="Normal"/>
              <w:jc w:val="center"/>
              <w:rPr>
                <w:sz w:val="32"/>
                <w:szCs w:val="32"/>
              </w:rPr>
            </w:pPr>
            <w:r>
              <w:rPr>
                <w:b/>
                <w:bCs/>
                <w:sz w:val="32"/>
                <w:szCs w:val="32"/>
              </w:rPr>
              <w:t>E IMAGENS ORBITAIS</w:t>
            </w:r>
          </w:p>
          <w:p>
            <w:pPr>
              <w:pStyle w:val="Normal"/>
              <w:rPr>
                <w:sz w:val="28"/>
                <w:szCs w:val="28"/>
              </w:rPr>
            </w:pPr>
            <w:r>
              <w:rPr>
                <w:sz w:val="28"/>
                <w:szCs w:val="28"/>
              </w:rPr>
            </w:r>
          </w:p>
          <w:p>
            <w:pPr>
              <w:pStyle w:val="Normal"/>
              <w:rPr>
                <w:sz w:val="28"/>
                <w:szCs w:val="28"/>
              </w:rPr>
            </w:pPr>
            <w:r>
              <w:rPr>
                <w:sz w:val="28"/>
                <w:szCs w:val="28"/>
              </w:rPr>
            </w:r>
          </w:p>
          <w:p>
            <w:pPr>
              <w:pStyle w:val="Normal"/>
              <w:tabs>
                <w:tab w:val="clear" w:pos="708"/>
                <w:tab w:val="left" w:pos="851" w:leader="none"/>
                <w:tab w:val="left" w:pos="1134" w:leader="none"/>
              </w:tabs>
              <w:spacing w:lineRule="auto" w:line="360"/>
              <w:jc w:val="both"/>
              <w:rPr>
                <w:rFonts w:ascii="Arial Narrow" w:hAnsi="Arial Narrow"/>
              </w:rPr>
            </w:pPr>
            <w:r>
              <w:rPr>
                <w:rFonts w:ascii="Arial Narrow" w:hAnsi="Arial Narrow"/>
              </w:rPr>
            </w:r>
          </w:p>
          <w:p>
            <w:pPr>
              <w:pStyle w:val="Ttulo3"/>
              <w:ind w:left="1701" w:hanging="1275"/>
              <w:rPr>
                <w:rFonts w:ascii="Arial Narrow" w:hAnsi="Arial Narrow"/>
                <w:b w:val="false"/>
                <w:b w:val="false"/>
                <w:sz w:val="44"/>
                <w:szCs w:val="44"/>
                <w:u w:val="none"/>
              </w:rPr>
            </w:pPr>
            <w:r>
              <w:rPr>
                <w:rFonts w:ascii="Arial Narrow" w:hAnsi="Arial Narrow"/>
                <w:b w:val="false"/>
                <w:sz w:val="44"/>
                <w:szCs w:val="44"/>
                <w:u w:val="none"/>
              </w:rPr>
              <w:t>EDITAL – IFMT Nº 046/2015</w:t>
            </w:r>
          </w:p>
          <w:p>
            <w:pPr>
              <w:pStyle w:val="Normal"/>
              <w:tabs>
                <w:tab w:val="clear" w:pos="708"/>
                <w:tab w:val="left" w:pos="851" w:leader="none"/>
                <w:tab w:val="left" w:pos="1134" w:leader="none"/>
              </w:tabs>
              <w:spacing w:lineRule="auto" w:line="360"/>
              <w:jc w:val="center"/>
              <w:rPr>
                <w:rFonts w:ascii="Arial Narrow" w:hAnsi="Arial Narrow"/>
                <w:sz w:val="32"/>
                <w:szCs w:val="32"/>
              </w:rPr>
            </w:pPr>
            <w:r>
              <w:rPr>
                <w:rFonts w:ascii="Arial Narrow" w:hAnsi="Arial Narrow"/>
                <w:sz w:val="32"/>
                <w:szCs w:val="32"/>
              </w:rPr>
            </w:r>
          </w:p>
          <w:p>
            <w:pPr>
              <w:pStyle w:val="Normal"/>
              <w:rPr>
                <w:sz w:val="28"/>
                <w:szCs w:val="28"/>
              </w:rPr>
            </w:pPr>
            <w:r>
              <w:rPr>
                <w:sz w:val="28"/>
                <w:szCs w:val="28"/>
              </w:rPr>
            </w:r>
          </w:p>
          <w:p>
            <w:pPr>
              <w:pStyle w:val="Normal"/>
              <w:jc w:val="center"/>
              <w:rPr>
                <w:b/>
                <w:b/>
                <w:sz w:val="52"/>
                <w:szCs w:val="52"/>
              </w:rPr>
            </w:pPr>
            <w:r>
              <w:rPr>
                <w:b/>
                <w:sz w:val="52"/>
                <w:szCs w:val="52"/>
              </w:rPr>
              <w:t>RELATÓRIO FINAL</w:t>
            </w:r>
          </w:p>
          <w:p>
            <w:pPr>
              <w:pStyle w:val="Normal"/>
              <w:rPr/>
            </w:pPr>
            <w:r>
              <w:rPr/>
            </w:r>
          </w:p>
          <w:p>
            <w:pPr>
              <w:pStyle w:val="Normal"/>
              <w:rPr/>
            </w:pPr>
            <w:r>
              <w:rPr/>
            </w:r>
          </w:p>
          <w:p>
            <w:pPr>
              <w:pStyle w:val="Normal"/>
              <w:rPr/>
            </w:pPr>
            <w:r>
              <w:rPr/>
            </w:r>
          </w:p>
          <w:p>
            <w:pPr>
              <w:pStyle w:val="Normal"/>
              <w:spacing w:lineRule="auto" w:line="360"/>
              <w:rPr>
                <w:sz w:val="32"/>
                <w:szCs w:val="32"/>
              </w:rPr>
            </w:pPr>
            <w:r>
              <w:rPr>
                <w:sz w:val="32"/>
                <w:szCs w:val="32"/>
              </w:rPr>
              <w:t xml:space="preserve">Coordenador do Projeto: </w:t>
            </w:r>
            <w:r>
              <w:rPr>
                <w:bCs/>
                <w:color w:val="000000"/>
                <w:sz w:val="32"/>
                <w:szCs w:val="32"/>
                <w:shd w:fill="FFFFFF" w:val="clear"/>
              </w:rPr>
              <w:t>Alexandre dos Santos</w:t>
            </w:r>
          </w:p>
          <w:p>
            <w:pPr>
              <w:pStyle w:val="Normal"/>
              <w:spacing w:lineRule="auto" w:line="360"/>
              <w:rPr>
                <w:sz w:val="32"/>
                <w:szCs w:val="32"/>
              </w:rPr>
            </w:pPr>
            <w:r>
              <w:rPr>
                <w:sz w:val="32"/>
                <w:szCs w:val="32"/>
              </w:rPr>
              <w:t>Aluno(s) Bolsista(s): Jacqueline Miranda Ferreira</w:t>
            </w:r>
          </w:p>
          <w:p>
            <w:pPr>
              <w:pStyle w:val="Normal"/>
              <w:spacing w:lineRule="auto" w:line="360"/>
              <w:rPr>
                <w:sz w:val="36"/>
                <w:szCs w:val="36"/>
              </w:rPr>
            </w:pPr>
            <w:r>
              <w:rPr>
                <w:sz w:val="36"/>
                <w:szCs w:val="36"/>
              </w:rPr>
            </w:r>
          </w:p>
          <w:p>
            <w:pPr>
              <w:pStyle w:val="Normal"/>
              <w:rPr>
                <w:sz w:val="28"/>
                <w:szCs w:val="28"/>
              </w:rPr>
            </w:pPr>
            <w:r>
              <w:rPr>
                <w:sz w:val="28"/>
                <w:szCs w:val="28"/>
              </w:rPr>
            </w:r>
          </w:p>
          <w:p>
            <w:pPr>
              <w:pStyle w:val="Normal"/>
              <w:jc w:val="both"/>
              <w:rPr>
                <w:sz w:val="28"/>
                <w:szCs w:val="28"/>
              </w:rPr>
            </w:pPr>
            <w:r>
              <w:rPr>
                <w:color w:val="C00000"/>
                <w:sz w:val="28"/>
                <w:szCs w:val="28"/>
              </w:rPr>
              <w:t xml:space="preserve">                                                               </w:t>
            </w:r>
            <w:r>
              <w:rPr>
                <w:sz w:val="28"/>
                <w:szCs w:val="28"/>
              </w:rPr>
              <w:t>Cáceres – MT, 10 de Outubro de 2016</w:t>
            </w:r>
          </w:p>
          <w:p>
            <w:pPr>
              <w:pStyle w:val="Normal"/>
              <w:rPr>
                <w:sz w:val="28"/>
                <w:szCs w:val="28"/>
              </w:rPr>
            </w:pPr>
            <w:r>
              <w:rPr>
                <w:sz w:val="28"/>
                <w:szCs w:val="28"/>
              </w:rPr>
            </w:r>
          </w:p>
          <w:p>
            <w:pPr>
              <w:pStyle w:val="Normal"/>
              <w:rPr>
                <w:sz w:val="28"/>
                <w:szCs w:val="28"/>
              </w:rPr>
            </w:pPr>
            <w:r>
              <w:rPr>
                <w:sz w:val="28"/>
                <w:szCs w:val="28"/>
              </w:rPr>
            </w:r>
          </w:p>
        </w:tc>
      </w:tr>
    </w:tbl>
    <w:p>
      <w:pPr>
        <w:pStyle w:val="Normal"/>
        <w:ind w:left="360" w:hanging="0"/>
        <w:rPr>
          <w:sz w:val="28"/>
          <w:szCs w:val="28"/>
        </w:rPr>
      </w:pPr>
      <w:r>
        <w:rPr>
          <w:sz w:val="28"/>
          <w:szCs w:val="28"/>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t>Identificação</w:t>
      </w:r>
    </w:p>
    <w:p>
      <w:pPr>
        <w:pStyle w:val="Normal"/>
        <w:rPr>
          <w:b/>
          <w:b/>
        </w:rPr>
      </w:pPr>
      <w:r>
        <w:rPr>
          <w:b/>
        </w:rPr>
      </w:r>
    </w:p>
    <w:p>
      <w:pPr>
        <w:pStyle w:val="Normal"/>
        <w:spacing w:lineRule="auto" w:line="360"/>
        <w:jc w:val="both"/>
        <w:rPr/>
      </w:pPr>
      <w:r>
        <w:rPr/>
        <w:t xml:space="preserve">a) Título do Projeto: </w:t>
      </w:r>
      <w:r>
        <w:rPr>
          <w:u w:val="single"/>
        </w:rPr>
        <w:t>Estimativa do volume de madeira de teca utilizando redes neurais artificiais e imagens orbitais.</w:t>
      </w:r>
    </w:p>
    <w:p>
      <w:pPr>
        <w:pStyle w:val="Normal"/>
        <w:spacing w:lineRule="auto" w:line="360"/>
        <w:jc w:val="both"/>
        <w:rPr>
          <w:u w:val="single"/>
        </w:rPr>
      </w:pPr>
      <w:r>
        <w:rPr/>
        <w:t xml:space="preserve">b) Início e fim do Projeto: </w:t>
      </w:r>
      <w:r>
        <w:rPr>
          <w:u w:val="single"/>
        </w:rPr>
        <w:t>01/10/2015 a 10/10/2016</w:t>
      </w:r>
    </w:p>
    <w:p>
      <w:pPr>
        <w:pStyle w:val="Normal"/>
        <w:spacing w:lineRule="auto" w:line="360"/>
        <w:jc w:val="both"/>
        <w:rPr/>
      </w:pPr>
      <w:r>
        <w:rPr/>
        <w:t xml:space="preserve">c) Nome do Orientador: </w:t>
      </w:r>
      <w:r>
        <w:rPr>
          <w:bCs/>
          <w:color w:val="000000"/>
          <w:shd w:fill="FFFFFF" w:val="clear"/>
        </w:rPr>
        <w:t>Alexandre dos Santos</w:t>
      </w:r>
    </w:p>
    <w:p>
      <w:pPr>
        <w:pStyle w:val="Normal"/>
        <w:spacing w:lineRule="auto" w:line="360"/>
        <w:jc w:val="both"/>
        <w:rPr/>
      </w:pPr>
      <w:r>
        <w:rPr/>
        <w:t>d) Nome do Aluno Bolsista: Jacqueline Miranda Ferreira</w:t>
      </w:r>
    </w:p>
    <w:p>
      <w:pPr>
        <w:pStyle w:val="Normal"/>
        <w:spacing w:lineRule="auto" w:line="360"/>
        <w:jc w:val="both"/>
        <w:rPr/>
      </w:pPr>
      <w:r>
        <w:rPr/>
        <w:t>e) Instituição/</w:t>
      </w:r>
      <w:r>
        <w:rPr>
          <w:i/>
        </w:rPr>
        <w:t>Campus</w:t>
      </w:r>
      <w:r>
        <w:rPr/>
        <w:t xml:space="preserve">: IFMT – </w:t>
      </w:r>
      <w:r>
        <w:rPr>
          <w:i/>
        </w:rPr>
        <w:t>Campus</w:t>
      </w:r>
      <w:r>
        <w:rPr/>
        <w:t xml:space="preserve"> Cáceres</w:t>
      </w:r>
    </w:p>
    <w:p>
      <w:pPr>
        <w:pStyle w:val="Normal"/>
        <w:rPr/>
      </w:pPr>
      <w:r>
        <w:rPr/>
      </w:r>
    </w:p>
    <w:p>
      <w:pPr>
        <w:pStyle w:val="ListParagraph"/>
        <w:numPr>
          <w:ilvl w:val="0"/>
          <w:numId w:val="1"/>
        </w:numPr>
        <w:tabs>
          <w:tab w:val="clear" w:pos="708"/>
          <w:tab w:val="left" w:pos="284" w:leader="none"/>
        </w:tabs>
        <w:ind w:left="0" w:hanging="0"/>
        <w:rPr>
          <w:rFonts w:ascii="Times New Roman" w:hAnsi="Times New Roman"/>
          <w:b/>
          <w:b/>
          <w:sz w:val="24"/>
          <w:szCs w:val="24"/>
        </w:rPr>
      </w:pPr>
      <w:r>
        <w:rPr/>
        <w:t xml:space="preserve">     </w:t>
      </w:r>
      <w:r>
        <w:rPr>
          <w:rFonts w:ascii="Times New Roman" w:hAnsi="Times New Roman"/>
          <w:b/>
          <w:sz w:val="24"/>
          <w:szCs w:val="24"/>
        </w:rPr>
        <w:t>INTRODUÇÃO</w:t>
      </w:r>
    </w:p>
    <w:p>
      <w:pPr>
        <w:pStyle w:val="Normal"/>
        <w:spacing w:lineRule="auto" w:line="360"/>
        <w:ind w:firstLine="708"/>
        <w:jc w:val="both"/>
        <w:rPr/>
      </w:pPr>
      <w:r>
        <w:rPr/>
        <w:t>O sucesso da cadeia produtiva de base florestal depende fortemente de um plantio bem manejado, o qual possa oferecer um produto final de alta qualidade. É exigido um monitoramento frequente do desenvolvimento das árvores dentro de uma unidade de produção e a tomada de decisões estratégicas vai garantir que as árvores alcancem o fim da rotação atendendo aos objetivos estabelecidos serraria, celulose, etc. (BERRA, 2013).</w:t>
      </w:r>
    </w:p>
    <w:p>
      <w:pPr>
        <w:pStyle w:val="Normal"/>
        <w:spacing w:lineRule="auto" w:line="360"/>
        <w:ind w:firstLine="708"/>
        <w:jc w:val="both"/>
        <w:rPr/>
      </w:pPr>
      <w:r>
        <w:rPr/>
        <w:t>Para se fazer o monitoramento do desenvolvimento das árvores, é preciso fazer a estimação de estoques de crescimento e de colheita, pois fornece informações quantitativas sobre a floresta, auxiliando na definição de planos de manejo e em análises econômicas de prescrições das atividades a serem executadas no povoamento. O manejo florestal torna-se, portanto, imprescindível para a geração de produtos, serviços e/ou benefícios diretos e indiretos, com a garantia de sustentabilidade (econômica, social e ambiental), a partir de uma floresta (CAMPOS; LEITE, 2013).</w:t>
      </w:r>
    </w:p>
    <w:p>
      <w:pPr>
        <w:pStyle w:val="Normal"/>
        <w:spacing w:lineRule="auto" w:line="360"/>
        <w:ind w:firstLine="708"/>
        <w:jc w:val="both"/>
        <w:rPr/>
      </w:pPr>
      <w:r>
        <w:rPr/>
        <w:t xml:space="preserve">O volume de madeira em cada unidade amostral é obtido pela aplicação de modelos volumétricos como Husch, Hohenald e Kreen e Schumacher e Hall, de razão volumétrica ou de afilamento, que em sua maioria possuem como variáveis independentes o diâmetro com casca a 1,3 m de altura a partir da superfície do solo e a altura total da árvore (CAMPOS; LEITE, 2013; BINOTI et al., 2013a). Porém, as empresas de base florestal têm investido recursos financeiros consideráveis para melhorar sua competitividade e sustentabilidade perante os mercados nacional e internacional. Seu principal foco desses investimentos é a redução de custos de produção através de pesquisas, desenvolvimento de novos procedimentos operacionais, da mecanização, da terceirização de processos e da reengenharia (LOPES E MACHADO, 2003). </w:t>
      </w:r>
    </w:p>
    <w:p>
      <w:pPr>
        <w:pStyle w:val="Normal"/>
        <w:spacing w:lineRule="auto" w:line="360"/>
        <w:ind w:firstLine="708"/>
        <w:jc w:val="both"/>
        <w:rPr/>
      </w:pPr>
      <w:r>
        <w:rPr/>
        <w:t>Uma das técnicas mais promissoras para fazer o inventário florestal, é o uso do sensoriamento remoto, que ao contrário do método tradicional, permite adquirir informações dos objetos de forma não destrutiva, sem que haja contato físico direto com o mesmo, em larga escala e em tempo real. Por meio de sensores, os dados espectrais captados podem ser relacionados com os parâmetros biofísicos da vegetação, como volume da madeira, e que definem a sua variabilidade espacial (RIBEIRO, 2008). Estes dados espectrais podem ser transformados em índices de vegetação, que têm por função maximizar a variável em estudo (no caso, volume da madeira) e minimizar diferentes fatores de variação, como a arquitetura do dossel, a influência dos solos, o estádio de desenvolvimento das plantas, a geometria de iluminação e a de visada. (GITELSON et al., 1996; HABOUDANE et al., 2004).</w:t>
      </w:r>
    </w:p>
    <w:p>
      <w:pPr>
        <w:pStyle w:val="Normal"/>
        <w:spacing w:lineRule="auto" w:line="360"/>
        <w:ind w:firstLine="708"/>
        <w:jc w:val="both"/>
        <w:rPr>
          <w:color w:val="FF0000"/>
        </w:rPr>
      </w:pPr>
      <w:r>
        <w:rPr>
          <w:color w:val="FF0000"/>
        </w:rPr>
        <w:t xml:space="preserve">Imagens do sensor TM do satélite Landsat 5 vêm sendo empregadas nas estimativas de parâmetros florestais, como demonstrados por diversos autores (BERRA et al., 2012, ALVES et al., 2013; BERRA, 2013; LEAL et al., 2013;  </w:t>
      </w:r>
    </w:p>
    <w:p>
      <w:pPr>
        <w:pStyle w:val="Normal"/>
        <w:spacing w:lineRule="auto" w:line="360"/>
        <w:ind w:firstLine="708"/>
        <w:jc w:val="both"/>
        <w:rPr>
          <w:color w:val="FF0000"/>
        </w:rPr>
      </w:pPr>
      <w:r>
        <w:rPr>
          <w:color w:val="FF0000"/>
        </w:rPr>
        <w:t>O sensor multiespectral do satélite Rapideye apresenta melhor resolução espacial, espectral e radiométrica que o sensor TM. Entretanto, não se tem conhecimento de estudos na área florestal, o que motiva a investigação.</w:t>
      </w:r>
    </w:p>
    <w:p>
      <w:pPr>
        <w:pStyle w:val="Normal"/>
        <w:spacing w:lineRule="auto" w:line="360"/>
        <w:ind w:firstLine="708"/>
        <w:jc w:val="both"/>
        <w:rPr/>
      </w:pPr>
      <w:r>
        <w:rPr/>
        <w:t>Outra ferramenta também utilizada para se projetar o volume e a altura das árvores é através do emprego de modelos de redes neurais artificiais (RNA). Elas têm sido empregadas com sucesso na área florestal para estimar altura (BINOTI et al., 2013ab), crescimento e produção (CASTRO et al., 2013ab), volume (BINOTI et al., 2014; GORGENS et al., 2009), entre outros, todos em plantios comerciais de eucalipto.</w:t>
      </w:r>
    </w:p>
    <w:p>
      <w:pPr>
        <w:pStyle w:val="Normal"/>
        <w:spacing w:lineRule="auto" w:line="360"/>
        <w:ind w:firstLine="708"/>
        <w:jc w:val="both"/>
        <w:rPr/>
      </w:pPr>
      <w:r>
        <w:rPr/>
        <w:t>Segundo Binoti et al. (2013ab), as RNAs reduzem significativamente no custo do inventário, pois diminui a necessidade de aferição da leitura em campo, visto que a fase amostragem é responsável pela maior parte dos custos de um inventário florestal. Para Castro et al. (2013a), os tradicionais modelos de regressão, muitas vezes, são inviáveis em razão da quantidade de submodelos e das funções que os compõem (complexidade), além da falta de dados e estudos.</w:t>
      </w:r>
    </w:p>
    <w:p>
      <w:pPr>
        <w:pStyle w:val="Normal"/>
        <w:spacing w:lineRule="auto" w:line="360"/>
        <w:ind w:firstLine="708"/>
        <w:jc w:val="both"/>
        <w:rPr>
          <w:color w:val="FF0000"/>
        </w:rPr>
      </w:pPr>
      <w:r>
        <w:rPr>
          <w:color w:val="FF0000"/>
        </w:rPr>
        <w:t>Objetivo geral:</w:t>
      </w:r>
    </w:p>
    <w:p>
      <w:pPr>
        <w:pStyle w:val="Normal"/>
        <w:spacing w:lineRule="auto" w:line="360"/>
        <w:ind w:firstLine="708"/>
        <w:jc w:val="both"/>
        <w:rPr>
          <w:color w:val="FF0000"/>
        </w:rPr>
      </w:pPr>
      <w:r>
        <w:rPr>
          <w:color w:val="FF0000"/>
        </w:rPr>
      </w:r>
    </w:p>
    <w:p>
      <w:pPr>
        <w:pStyle w:val="Normal"/>
        <w:spacing w:lineRule="auto" w:line="360"/>
        <w:ind w:firstLine="708"/>
        <w:jc w:val="both"/>
        <w:rPr>
          <w:color w:val="FF0000"/>
        </w:rPr>
      </w:pPr>
      <w:r>
        <w:rPr>
          <w:color w:val="FF0000"/>
        </w:rPr>
        <w:t>HIPÓTESE I: O volume de madeira por parcela obtido a partir do inventário florestal apresenta correlação com as bandas e os índices de vegetação e a estimativa dessa variável pode ser feita a partir de dados de sensoriamento remoto.</w:t>
      </w:r>
    </w:p>
    <w:p>
      <w:pPr>
        <w:pStyle w:val="Normal"/>
        <w:spacing w:lineRule="auto" w:line="360"/>
        <w:ind w:firstLine="567"/>
        <w:jc w:val="both"/>
        <w:rPr>
          <w:color w:val="FF0000"/>
        </w:rPr>
      </w:pPr>
      <w:r>
        <w:rPr>
          <w:color w:val="FF0000"/>
        </w:rPr>
        <w:t>Para verificar a possibilidade de estimar o volume com casca por parcela (m³/ha) por meio das redes neurais artificiais, foi realizada, primeiramente, a análise de correlação entre o volume por parcela observado nos inventários florestais e as variáveis espectrais bandas e índices de vegetação (Tabela 2).</w:t>
      </w:r>
    </w:p>
    <w:p>
      <w:pPr>
        <w:pStyle w:val="Normal"/>
        <w:spacing w:lineRule="auto" w:line="360"/>
        <w:ind w:firstLine="567"/>
        <w:jc w:val="both"/>
        <w:rPr>
          <w:color w:val="FF0000"/>
        </w:rPr>
      </w:pPr>
      <w:r>
        <w:rPr>
          <w:color w:val="FF0000"/>
        </w:rPr>
        <w:t>Com objetivo de verificar o melhor tipo de produto do sensoriamento remoto (resoluções espacial e espectral) e as melhores variáveis (bandas e índices de vegetação) para estimar volume com casca por parcela foram selecionadas uma imagem do satélite Landsat 5 TM (22/05/2011) e uma imagem do satélite RapidEye (20/06/2011), disponíveis próximos ao período do inventário florestal (janeiro a março de 2011).</w:t>
      </w:r>
    </w:p>
    <w:p>
      <w:pPr>
        <w:pStyle w:val="Normal"/>
        <w:spacing w:lineRule="auto" w:line="360"/>
        <w:ind w:firstLine="567"/>
        <w:jc w:val="both"/>
        <w:rPr>
          <w:color w:val="FF0000"/>
        </w:rPr>
      </w:pPr>
      <w:r>
        <w:rPr>
          <w:color w:val="FF0000"/>
        </w:rPr>
        <w:t>Com objetivo de verificar a melhor época de aquisição das imagens e as melhores variáveis (bandas e índices de vegetação) para estimar volume com casca por parcela foram selecionadas três imagens do satélite Landsat 5 TM no ano de 2009 (08/01/2009, 30/04/2009 e 03/07/2009) disponíveis próximos ao período do inventário florestal (janeiro a março de 2009).</w:t>
      </w:r>
    </w:p>
    <w:p>
      <w:pPr>
        <w:pStyle w:val="ListParagraph"/>
        <w:ind w:left="0" w:hanging="0"/>
        <w:rPr>
          <w:rFonts w:ascii="Times New Roman" w:hAnsi="Times New Roman"/>
          <w:b/>
          <w:b/>
          <w:sz w:val="24"/>
          <w:szCs w:val="24"/>
        </w:rPr>
      </w:pPr>
      <w:r>
        <w:rPr>
          <w:rFonts w:ascii="Times New Roman" w:hAnsi="Times New Roman"/>
          <w:b/>
          <w:sz w:val="24"/>
          <w:szCs w:val="24"/>
        </w:rPr>
      </w:r>
    </w:p>
    <w:p>
      <w:pPr>
        <w:pStyle w:val="Normal"/>
        <w:rPr>
          <w:rFonts w:eastAsia="Calibri"/>
          <w:b/>
          <w:b/>
          <w:lang w:eastAsia="en-US"/>
        </w:rPr>
      </w:pPr>
      <w:r>
        <w:rPr>
          <w:rFonts w:eastAsia="Calibri"/>
          <w:b/>
          <w:lang w:eastAsia="en-US"/>
        </w:rPr>
      </w:r>
      <w:r>
        <w:br w:type="page"/>
      </w:r>
    </w:p>
    <w:p>
      <w:pPr>
        <w:pStyle w:val="ListParagraph"/>
        <w:numPr>
          <w:ilvl w:val="0"/>
          <w:numId w:val="1"/>
        </w:numPr>
        <w:tabs>
          <w:tab w:val="clear" w:pos="708"/>
          <w:tab w:val="left" w:pos="426" w:leader="none"/>
        </w:tabs>
        <w:ind w:left="0" w:hanging="0"/>
        <w:rPr>
          <w:rFonts w:ascii="Times New Roman" w:hAnsi="Times New Roman"/>
          <w:b/>
          <w:b/>
          <w:sz w:val="24"/>
          <w:szCs w:val="24"/>
        </w:rPr>
      </w:pPr>
      <w:r>
        <w:rPr>
          <w:rFonts w:ascii="Times New Roman" w:hAnsi="Times New Roman"/>
          <w:b/>
          <w:sz w:val="24"/>
          <w:szCs w:val="24"/>
        </w:rPr>
        <w:t>METODOLOGIA</w:t>
      </w:r>
    </w:p>
    <w:p>
      <w:pPr>
        <w:pStyle w:val="ListParagraph"/>
        <w:tabs>
          <w:tab w:val="clear" w:pos="708"/>
          <w:tab w:val="left" w:pos="426" w:leader="none"/>
        </w:tabs>
        <w:ind w:left="0" w:hanging="0"/>
        <w:rPr>
          <w:rFonts w:ascii="Times New Roman" w:hAnsi="Times New Roman"/>
          <w:b/>
          <w:b/>
          <w:sz w:val="24"/>
          <w:szCs w:val="24"/>
        </w:rPr>
      </w:pPr>
      <w:r>
        <w:rPr>
          <w:rFonts w:ascii="Times New Roman" w:hAnsi="Times New Roman"/>
          <w:b/>
          <w:sz w:val="24"/>
          <w:szCs w:val="24"/>
        </w:rPr>
      </w:r>
    </w:p>
    <w:p>
      <w:pPr>
        <w:pStyle w:val="ListParagraph"/>
        <w:numPr>
          <w:ilvl w:val="1"/>
          <w:numId w:val="1"/>
        </w:numPr>
        <w:tabs>
          <w:tab w:val="clear" w:pos="708"/>
          <w:tab w:val="left" w:pos="567" w:leader="none"/>
        </w:tabs>
        <w:ind w:left="0" w:hanging="0"/>
        <w:rPr>
          <w:rFonts w:ascii="Times New Roman" w:hAnsi="Times New Roman"/>
          <w:b/>
          <w:b/>
          <w:sz w:val="24"/>
          <w:szCs w:val="24"/>
        </w:rPr>
      </w:pPr>
      <w:r>
        <w:rPr>
          <w:rFonts w:ascii="Times New Roman" w:hAnsi="Times New Roman"/>
          <w:b/>
          <w:sz w:val="24"/>
          <w:szCs w:val="24"/>
        </w:rPr>
        <w:t xml:space="preserve">Caracterização da área de estudo e obtenção de dados </w:t>
      </w:r>
    </w:p>
    <w:p>
      <w:pPr>
        <w:pStyle w:val="Normal"/>
        <w:tabs>
          <w:tab w:val="left" w:pos="708" w:leader="none"/>
        </w:tabs>
        <w:suppressAutoHyphens w:val="true"/>
        <w:spacing w:lineRule="auto" w:line="360" w:before="0" w:after="0"/>
        <w:contextualSpacing/>
        <w:jc w:val="both"/>
        <w:rPr/>
      </w:pPr>
      <w:r>
        <w:rPr/>
        <w:tab/>
        <w:t xml:space="preserve">A área de estudo compreende 1130,6 hectares de plantio com </w:t>
      </w:r>
      <w:r>
        <w:rPr>
          <w:i/>
        </w:rPr>
        <w:t xml:space="preserve">Tectona grandis </w:t>
      </w:r>
      <w:r>
        <w:rPr/>
        <w:t>L.f. pertencente a uma empresa do setor florestal, com espaçamento 3 x 3 m, localizada no município de Cáceres/MT. O clima é tropical estacional com duas estações bem definidas, uma seca no inverno, de maio a setembro, e uma chuvosa no verão, de novembro a abril (DALLACORT et al., 2014).</w:t>
      </w:r>
    </w:p>
    <w:p>
      <w:pPr>
        <w:pStyle w:val="Normal"/>
        <w:spacing w:lineRule="auto" w:line="360"/>
        <w:ind w:firstLine="708"/>
        <w:jc w:val="both"/>
        <w:rPr/>
      </w:pPr>
      <w:r>
        <w:rPr/>
        <w:t>Utilizaram-se dados de medições de 227 parcelas circulares permanentes com área de 452,389 m</w:t>
      </w:r>
      <w:r>
        <w:rPr>
          <w:vertAlign w:val="superscript"/>
        </w:rPr>
        <w:t>2</w:t>
      </w:r>
      <w:r>
        <w:rPr/>
        <w:t xml:space="preserve"> (raio de 12 m) de inventários florestais contínuos realizados em um povoamento seminal de teca localizado em uma área com dois anos de plantio (1999 e 2000). Foi realizado um desbaste entre os anos 2009 e 2010. Essas parcelas foram medidas em três idades.</w:t>
      </w:r>
    </w:p>
    <w:p>
      <w:pPr>
        <w:pStyle w:val="Normal"/>
        <w:spacing w:lineRule="auto" w:line="360"/>
        <w:ind w:firstLine="708"/>
        <w:jc w:val="both"/>
        <w:rPr/>
      </w:pPr>
      <w:r>
        <w:rPr/>
        <w:t>Em todas as parcelas foram mensurados: os diâmetros com casca a 1,30 de altura do solo em todas as árvores com suta; as alturas totais de 25% das árvores da parcela e de cinco árvores dominantes com clinômetro eletrônico de Haglof. As estimativas do volume com casca (Vcc) e da altura total (Ht) das árvores não mensuradas foram obtidas através dos seguintes modelos:</w:t>
      </w:r>
    </w:p>
    <w:p>
      <w:pPr>
        <w:pStyle w:val="Normal"/>
        <w:tabs>
          <w:tab w:val="clear" w:pos="708"/>
          <w:tab w:val="left" w:pos="5651" w:leader="none"/>
        </w:tabs>
        <w:spacing w:lineRule="auto" w:line="360"/>
        <w:jc w:val="both"/>
        <w:rPr/>
      </w:pPr>
      <w:r>
        <w:rPr/>
        <w:t>ln (Ht) = β</w:t>
      </w:r>
      <w:r>
        <w:rPr>
          <w:vertAlign w:val="subscript"/>
        </w:rPr>
        <w:t>0</w:t>
      </w:r>
      <w:r>
        <w:rPr/>
        <w:t xml:space="preserve"> + β</w:t>
      </w:r>
      <w:r>
        <w:rPr>
          <w:vertAlign w:val="subscript"/>
        </w:rPr>
        <w:t>1</w:t>
      </w:r>
      <w:r>
        <w:rPr/>
        <w:t xml:space="preserve"> DAP</w:t>
      </w:r>
      <w:r>
        <w:rPr>
          <w:vertAlign w:val="superscript"/>
        </w:rPr>
        <w:t>-1</w:t>
      </w:r>
      <w:r>
        <w:rPr/>
        <w:t xml:space="preserve"> + β</w:t>
      </w:r>
      <w:r>
        <w:rPr>
          <w:vertAlign w:val="subscript"/>
        </w:rPr>
        <w:t>2</w:t>
      </w:r>
      <w:r>
        <w:rPr/>
        <w:t xml:space="preserve"> ln(Hd) + E                    Leite e Andrade  (2003)                  (1)</w:t>
      </w:r>
    </w:p>
    <w:p>
      <w:pPr>
        <w:pStyle w:val="Normal"/>
        <w:tabs>
          <w:tab w:val="clear" w:pos="708"/>
          <w:tab w:val="left" w:pos="5651" w:leader="none"/>
        </w:tabs>
        <w:spacing w:lineRule="auto" w:line="360"/>
        <w:jc w:val="both"/>
        <w:rPr>
          <w:lang w:val="en-US"/>
        </w:rPr>
      </w:pPr>
      <w:r>
        <w:rPr>
          <w:lang w:val="en-US"/>
        </w:rPr>
        <w:t xml:space="preserve">ln (Vcc) = </w:t>
      </w:r>
      <w:r>
        <w:rPr/>
        <w:t>β</w:t>
      </w:r>
      <w:r>
        <w:rPr>
          <w:vertAlign w:val="subscript"/>
          <w:lang w:val="en-US"/>
        </w:rPr>
        <w:t xml:space="preserve">0 </w:t>
      </w:r>
      <w:r>
        <w:rPr>
          <w:lang w:val="en-US"/>
        </w:rPr>
        <w:t xml:space="preserve">+ </w:t>
      </w:r>
      <w:r>
        <w:rPr/>
        <w:t>β</w:t>
      </w:r>
      <w:r>
        <w:rPr>
          <w:vertAlign w:val="subscript"/>
          <w:lang w:val="en-US"/>
        </w:rPr>
        <w:t xml:space="preserve">1 </w:t>
      </w:r>
      <w:r>
        <w:rPr>
          <w:lang w:val="en-US"/>
        </w:rPr>
        <w:t xml:space="preserve">ln(DAP) + </w:t>
      </w:r>
      <w:r>
        <w:rPr/>
        <w:t>β</w:t>
      </w:r>
      <w:r>
        <w:rPr>
          <w:vertAlign w:val="subscript"/>
          <w:lang w:val="en-US"/>
        </w:rPr>
        <w:t>2</w:t>
      </w:r>
      <w:r>
        <w:rPr>
          <w:lang w:val="en-US"/>
        </w:rPr>
        <w:t xml:space="preserve"> ln(Ht) + E               Schumacher e Hall (1933)              (2)</w:t>
      </w:r>
    </w:p>
    <w:p>
      <w:pPr>
        <w:pStyle w:val="Normal"/>
        <w:tabs>
          <w:tab w:val="clear" w:pos="708"/>
          <w:tab w:val="left" w:pos="1395" w:leader="none"/>
        </w:tabs>
        <w:spacing w:lineRule="auto" w:line="360"/>
        <w:jc w:val="both"/>
        <w:rPr/>
      </w:pPr>
      <w:r>
        <w:rPr/>
        <w:t>em que,</w:t>
        <w:tab/>
      </w:r>
    </w:p>
    <w:p>
      <w:pPr>
        <w:pStyle w:val="Normal"/>
        <w:tabs>
          <w:tab w:val="clear" w:pos="708"/>
          <w:tab w:val="left" w:pos="1395" w:leader="none"/>
        </w:tabs>
        <w:spacing w:lineRule="auto" w:line="360"/>
        <w:jc w:val="both"/>
        <w:rPr/>
      </w:pPr>
      <w:r>
        <w:rPr/>
        <w:t>β</w:t>
      </w:r>
      <w:r>
        <w:rPr>
          <w:vertAlign w:val="subscript"/>
        </w:rPr>
        <w:t>0</w:t>
      </w:r>
      <w:r>
        <w:rPr/>
        <w:t>, β</w:t>
      </w:r>
      <w:r>
        <w:rPr>
          <w:vertAlign w:val="subscript"/>
        </w:rPr>
        <w:t>1</w:t>
      </w:r>
      <w:r>
        <w:rPr/>
        <w:t xml:space="preserve"> e β</w:t>
      </w:r>
      <w:r>
        <w:rPr>
          <w:vertAlign w:val="subscript"/>
        </w:rPr>
        <w:t xml:space="preserve">2      </w:t>
      </w:r>
      <w:r>
        <w:rPr/>
        <w:t>:   coeficientes do modelo de regressão;</w:t>
      </w:r>
    </w:p>
    <w:p>
      <w:pPr>
        <w:pStyle w:val="Normal"/>
        <w:tabs>
          <w:tab w:val="clear" w:pos="708"/>
          <w:tab w:val="left" w:pos="1395" w:leader="none"/>
        </w:tabs>
        <w:spacing w:lineRule="auto" w:line="360"/>
        <w:jc w:val="both"/>
        <w:rPr/>
      </w:pPr>
      <w:r>
        <w:rPr/>
        <w:t>DAP           :   diâmetro à altura do peito (cm);</w:t>
      </w:r>
    </w:p>
    <w:p>
      <w:pPr>
        <w:pStyle w:val="Normal"/>
        <w:tabs>
          <w:tab w:val="clear" w:pos="708"/>
          <w:tab w:val="left" w:pos="1395" w:leader="none"/>
        </w:tabs>
        <w:spacing w:lineRule="auto" w:line="360"/>
        <w:jc w:val="both"/>
        <w:rPr/>
      </w:pPr>
      <w:r>
        <w:rPr/>
        <w:t>Hd              :   altura dominante (m);</w:t>
      </w:r>
    </w:p>
    <w:p>
      <w:pPr>
        <w:pStyle w:val="Normal"/>
        <w:tabs>
          <w:tab w:val="clear" w:pos="708"/>
          <w:tab w:val="left" w:pos="1395" w:leader="none"/>
        </w:tabs>
        <w:spacing w:lineRule="auto" w:line="360"/>
        <w:jc w:val="both"/>
        <w:rPr/>
      </w:pPr>
      <w:r>
        <w:rPr/>
        <w:t>E                :   erro aleatório.</w:t>
      </w:r>
    </w:p>
    <w:p>
      <w:pPr>
        <w:pStyle w:val="Normal"/>
        <w:spacing w:lineRule="auto" w:line="360"/>
        <w:ind w:firstLine="708"/>
        <w:jc w:val="both"/>
        <w:rPr/>
      </w:pPr>
      <w:r>
        <w:rPr/>
        <w:t>O volume com casca por parcela (m</w:t>
      </w:r>
      <w:r>
        <w:rPr>
          <w:vertAlign w:val="superscript"/>
        </w:rPr>
        <w:t>3</w:t>
      </w:r>
      <w:r>
        <w:rPr/>
        <w:t xml:space="preserve"> ha</w:t>
      </w:r>
      <w:r>
        <w:rPr>
          <w:vertAlign w:val="superscript"/>
        </w:rPr>
        <w:t>-1</w:t>
      </w:r>
      <w:r>
        <w:rPr/>
        <w:t>) foi obtido somando os volumes com casca individuais das árvores.</w:t>
      </w:r>
    </w:p>
    <w:p>
      <w:pPr>
        <w:pStyle w:val="Normal"/>
        <w:spacing w:lineRule="auto" w:line="360"/>
        <w:ind w:firstLine="708"/>
        <w:jc w:val="both"/>
        <w:rPr/>
      </w:pPr>
      <w:r>
        <w:rPr/>
        <w:t>As estatísticas de ajuste para os modelos supracitados não foram fornecidas pela empresa do setor florestal.</w:t>
      </w:r>
    </w:p>
    <w:p>
      <w:pPr>
        <w:pStyle w:val="Normal"/>
        <w:spacing w:lineRule="auto" w:line="360"/>
        <w:ind w:firstLine="708"/>
        <w:jc w:val="both"/>
        <w:rPr/>
      </w:pPr>
      <w:r>
        <w:rPr/>
      </w:r>
    </w:p>
    <w:p>
      <w:pPr>
        <w:pStyle w:val="Normal"/>
        <w:spacing w:lineRule="auto" w:line="360"/>
        <w:ind w:firstLine="708"/>
        <w:jc w:val="both"/>
        <w:rPr/>
      </w:pPr>
      <w:r>
        <w:rPr/>
      </w:r>
    </w:p>
    <w:p>
      <w:pPr>
        <w:pStyle w:val="Normal"/>
        <w:spacing w:lineRule="auto" w:line="360"/>
        <w:ind w:firstLine="708"/>
        <w:jc w:val="both"/>
        <w:rPr/>
      </w:pPr>
      <w:r>
        <w:rPr/>
      </w:r>
    </w:p>
    <w:p>
      <w:pPr>
        <w:pStyle w:val="ListParagraph"/>
        <w:numPr>
          <w:ilvl w:val="1"/>
          <w:numId w:val="1"/>
        </w:numPr>
        <w:tabs>
          <w:tab w:val="clear" w:pos="708"/>
          <w:tab w:val="left" w:pos="567" w:leader="none"/>
        </w:tabs>
        <w:ind w:left="0" w:hanging="0"/>
        <w:rPr>
          <w:rFonts w:ascii="Times New Roman" w:hAnsi="Times New Roman"/>
          <w:b/>
          <w:b/>
          <w:sz w:val="24"/>
          <w:szCs w:val="24"/>
        </w:rPr>
      </w:pPr>
      <w:r>
        <w:rPr>
          <w:rFonts w:ascii="Times New Roman" w:hAnsi="Times New Roman"/>
          <w:b/>
          <w:sz w:val="24"/>
          <w:szCs w:val="24"/>
        </w:rPr>
        <w:t>Processamentos das imagens</w:t>
      </w:r>
    </w:p>
    <w:p>
      <w:pPr>
        <w:pStyle w:val="Normal"/>
        <w:spacing w:lineRule="auto" w:line="360"/>
        <w:ind w:firstLine="708"/>
        <w:jc w:val="both"/>
        <w:rPr/>
      </w:pPr>
      <w:r>
        <w:rPr/>
        <w:t>Com objetivo de verificar a melhor época de aquisição das imagens para estimar volume com casca por parcela foram selecionadas três imagens do satélite Landsat 5, sensor TM, órbita 228 e ponto 71, em três datas de passagem 08/01/2009, 30/04/2009 e 03/07/2009 (estação da seca, quando as folhas da teca caem), disponíveis próximos ao período do inventário florestal, realizado de janeiro a março de 2009.</w:t>
      </w:r>
    </w:p>
    <w:p>
      <w:pPr>
        <w:pStyle w:val="Normal"/>
        <w:spacing w:lineRule="auto" w:line="360"/>
        <w:ind w:firstLine="708"/>
        <w:jc w:val="both"/>
        <w:rPr/>
      </w:pPr>
      <w:r>
        <w:rPr/>
        <w:t>Com objetivo de verificar o melhor tipo de produto do sensoriamento remoto (resoluções radiométrica, espacial e espectral) para estimar volume com casca por parcela foram selecionadas uma imagem do satélite Landsat 5 / TM (órbita 228 e ponto 71) na data de passagem 22/05/2011, e uma imagem do satélite RapidEye, sensor multiespectral, na data de passagem 20/06/2011, disponíveis próximos ao período do inventário florestal (janeiro a março de 2011).</w:t>
      </w:r>
    </w:p>
    <w:p>
      <w:pPr>
        <w:pStyle w:val="Normal"/>
        <w:spacing w:lineRule="auto" w:line="360"/>
        <w:ind w:firstLine="708"/>
        <w:jc w:val="both"/>
        <w:rPr/>
      </w:pPr>
      <w:r>
        <w:rPr/>
        <w:t>Do satélite Landsat 5 / TM também foi obtida uma imagem na data de passagem de 20/06/2010, órbita 228 e ponto 71. Os dados dos satélites estão apresentados na Tabela 1.</w:t>
      </w:r>
    </w:p>
    <w:p>
      <w:pPr>
        <w:pStyle w:val="Normal"/>
        <w:ind w:firstLine="708"/>
        <w:jc w:val="both"/>
        <w:rPr/>
      </w:pPr>
      <w:r>
        <w:rPr/>
      </w:r>
    </w:p>
    <w:p>
      <w:pPr>
        <w:pStyle w:val="Normal"/>
        <w:jc w:val="both"/>
        <w:rPr>
          <w:sz w:val="20"/>
          <w:szCs w:val="20"/>
        </w:rPr>
      </w:pPr>
      <w:r>
        <w:rPr>
          <w:sz w:val="20"/>
          <w:szCs w:val="20"/>
        </w:rPr>
        <w:t>Tabela 1. Informações dos satélites utilizados no estudo</w:t>
      </w:r>
    </w:p>
    <w:tbl>
      <w:tblPr>
        <w:tblW w:w="9183" w:type="dxa"/>
        <w:jc w:val="center"/>
        <w:tblInd w:w="0" w:type="dxa"/>
        <w:tblCellMar>
          <w:top w:w="0" w:type="dxa"/>
          <w:left w:w="108" w:type="dxa"/>
          <w:bottom w:w="0" w:type="dxa"/>
          <w:right w:w="108" w:type="dxa"/>
        </w:tblCellMar>
        <w:tblLook w:firstRow="1" w:noVBand="1" w:lastRow="0" w:firstColumn="1" w:lastColumn="0" w:noHBand="0" w:val="04a0"/>
      </w:tblPr>
      <w:tblGrid>
        <w:gridCol w:w="3061"/>
        <w:gridCol w:w="3061"/>
        <w:gridCol w:w="3061"/>
      </w:tblGrid>
      <w:tr>
        <w:trPr>
          <w:trHeight w:val="124" w:hRule="atLeast"/>
        </w:trPr>
        <w:tc>
          <w:tcPr>
            <w:tcW w:w="3061" w:type="dxa"/>
            <w:vMerge w:val="restart"/>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Bandas espectrais</w:t>
            </w:r>
          </w:p>
        </w:tc>
        <w:tc>
          <w:tcPr>
            <w:tcW w:w="3061" w:type="dxa"/>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Landsat 5 / TM</w:t>
            </w:r>
          </w:p>
        </w:tc>
        <w:tc>
          <w:tcPr>
            <w:tcW w:w="3061" w:type="dxa"/>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Rapideye / multiespectral</w:t>
            </w:r>
          </w:p>
        </w:tc>
      </w:tr>
      <w:tr>
        <w:trPr>
          <w:trHeight w:val="124" w:hRule="atLeast"/>
        </w:trPr>
        <w:tc>
          <w:tcPr>
            <w:tcW w:w="3061" w:type="dxa"/>
            <w:vMerge w:val="continue"/>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r>
          </w:p>
        </w:tc>
        <w:tc>
          <w:tcPr>
            <w:tcW w:w="6122" w:type="dxa"/>
            <w:gridSpan w:val="2"/>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Resolução espectral (Resolução espacial / Resolução radiométrica)</w:t>
            </w:r>
          </w:p>
        </w:tc>
      </w:tr>
      <w:tr>
        <w:trPr>
          <w:trHeight w:val="288" w:hRule="atLeast"/>
        </w:trPr>
        <w:tc>
          <w:tcPr>
            <w:tcW w:w="3061" w:type="dxa"/>
            <w:tcBorders>
              <w:top w:val="single" w:sz="4" w:space="0" w:color="000000"/>
            </w:tcBorders>
            <w:shd w:color="auto" w:fill="auto" w:val="clear"/>
            <w:vAlign w:val="center"/>
          </w:tcPr>
          <w:p>
            <w:pPr>
              <w:pStyle w:val="Normal"/>
              <w:jc w:val="center"/>
              <w:rPr>
                <w:sz w:val="20"/>
                <w:szCs w:val="20"/>
              </w:rPr>
            </w:pPr>
            <w:r>
              <w:rPr>
                <w:sz w:val="20"/>
                <w:szCs w:val="20"/>
              </w:rPr>
              <w:t>Azul - B</w:t>
            </w:r>
          </w:p>
        </w:tc>
        <w:tc>
          <w:tcPr>
            <w:tcW w:w="3061" w:type="dxa"/>
            <w:tcBorders>
              <w:top w:val="single" w:sz="4" w:space="0" w:color="000000"/>
            </w:tcBorders>
            <w:shd w:color="auto" w:fill="auto" w:val="clear"/>
            <w:vAlign w:val="center"/>
          </w:tcPr>
          <w:p>
            <w:pPr>
              <w:pStyle w:val="Normal"/>
              <w:jc w:val="center"/>
              <w:rPr>
                <w:sz w:val="20"/>
                <w:szCs w:val="20"/>
              </w:rPr>
            </w:pPr>
            <w:r>
              <w:rPr>
                <w:sz w:val="20"/>
                <w:szCs w:val="20"/>
              </w:rPr>
              <w:t>0,450 – 0,520 µm (30 m / 8 bits)</w:t>
            </w:r>
          </w:p>
        </w:tc>
        <w:tc>
          <w:tcPr>
            <w:tcW w:w="3061" w:type="dxa"/>
            <w:tcBorders>
              <w:top w:val="single" w:sz="4" w:space="0" w:color="000000"/>
            </w:tcBorders>
            <w:shd w:color="auto" w:fill="auto" w:val="clear"/>
            <w:vAlign w:val="center"/>
          </w:tcPr>
          <w:p>
            <w:pPr>
              <w:pStyle w:val="Normal"/>
              <w:jc w:val="center"/>
              <w:rPr>
                <w:sz w:val="20"/>
                <w:szCs w:val="20"/>
              </w:rPr>
            </w:pPr>
            <w:r>
              <w:rPr>
                <w:sz w:val="20"/>
                <w:szCs w:val="20"/>
              </w:rPr>
              <w:t>0,440 – 0,510 µm (5 m* / 12 bits)</w:t>
            </w:r>
          </w:p>
        </w:tc>
      </w:tr>
      <w:tr>
        <w:trPr>
          <w:trHeight w:val="288" w:hRule="atLeast"/>
        </w:trPr>
        <w:tc>
          <w:tcPr>
            <w:tcW w:w="3061" w:type="dxa"/>
            <w:tcBorders/>
            <w:shd w:color="auto" w:fill="auto" w:val="clear"/>
            <w:vAlign w:val="center"/>
          </w:tcPr>
          <w:p>
            <w:pPr>
              <w:pStyle w:val="Normal"/>
              <w:jc w:val="center"/>
              <w:rPr>
                <w:sz w:val="20"/>
                <w:szCs w:val="20"/>
              </w:rPr>
            </w:pPr>
            <w:r>
              <w:rPr>
                <w:sz w:val="20"/>
                <w:szCs w:val="20"/>
              </w:rPr>
              <w:t>Verde - G</w:t>
            </w:r>
          </w:p>
        </w:tc>
        <w:tc>
          <w:tcPr>
            <w:tcW w:w="3061" w:type="dxa"/>
            <w:tcBorders/>
            <w:shd w:color="auto" w:fill="auto" w:val="clear"/>
            <w:vAlign w:val="center"/>
          </w:tcPr>
          <w:p>
            <w:pPr>
              <w:pStyle w:val="Normal"/>
              <w:jc w:val="center"/>
              <w:rPr>
                <w:sz w:val="20"/>
                <w:szCs w:val="20"/>
              </w:rPr>
            </w:pPr>
            <w:r>
              <w:rPr>
                <w:sz w:val="20"/>
                <w:szCs w:val="20"/>
              </w:rPr>
              <w:t>0,520 – 0,600 µm (30 m / 8 bits)</w:t>
            </w:r>
          </w:p>
        </w:tc>
        <w:tc>
          <w:tcPr>
            <w:tcW w:w="3061" w:type="dxa"/>
            <w:tcBorders/>
            <w:shd w:color="auto" w:fill="auto" w:val="clear"/>
            <w:vAlign w:val="center"/>
          </w:tcPr>
          <w:p>
            <w:pPr>
              <w:pStyle w:val="Normal"/>
              <w:jc w:val="center"/>
              <w:rPr>
                <w:sz w:val="20"/>
                <w:szCs w:val="20"/>
              </w:rPr>
            </w:pPr>
            <w:r>
              <w:rPr>
                <w:sz w:val="20"/>
                <w:szCs w:val="20"/>
              </w:rPr>
              <w:t>0,520 – 0,590 µm (5 m* / 12 bits)</w:t>
            </w:r>
          </w:p>
        </w:tc>
      </w:tr>
      <w:tr>
        <w:trPr>
          <w:trHeight w:val="288" w:hRule="atLeast"/>
        </w:trPr>
        <w:tc>
          <w:tcPr>
            <w:tcW w:w="3061" w:type="dxa"/>
            <w:tcBorders/>
            <w:shd w:color="auto" w:fill="auto" w:val="clear"/>
            <w:vAlign w:val="center"/>
          </w:tcPr>
          <w:p>
            <w:pPr>
              <w:pStyle w:val="Normal"/>
              <w:jc w:val="center"/>
              <w:rPr>
                <w:sz w:val="20"/>
                <w:szCs w:val="20"/>
              </w:rPr>
            </w:pPr>
            <w:r>
              <w:rPr>
                <w:sz w:val="20"/>
                <w:szCs w:val="20"/>
              </w:rPr>
              <w:t>Vermelho - R</w:t>
            </w:r>
          </w:p>
        </w:tc>
        <w:tc>
          <w:tcPr>
            <w:tcW w:w="3061" w:type="dxa"/>
            <w:tcBorders/>
            <w:shd w:color="auto" w:fill="auto" w:val="clear"/>
            <w:vAlign w:val="center"/>
          </w:tcPr>
          <w:p>
            <w:pPr>
              <w:pStyle w:val="Normal"/>
              <w:jc w:val="center"/>
              <w:rPr>
                <w:sz w:val="20"/>
                <w:szCs w:val="20"/>
              </w:rPr>
            </w:pPr>
            <w:r>
              <w:rPr>
                <w:sz w:val="20"/>
                <w:szCs w:val="20"/>
              </w:rPr>
              <w:t>0,630 – 0,690 µm (30 m / 8 bits)</w:t>
            </w:r>
          </w:p>
        </w:tc>
        <w:tc>
          <w:tcPr>
            <w:tcW w:w="3061" w:type="dxa"/>
            <w:tcBorders/>
            <w:shd w:color="auto" w:fill="auto" w:val="clear"/>
            <w:vAlign w:val="center"/>
          </w:tcPr>
          <w:p>
            <w:pPr>
              <w:pStyle w:val="Normal"/>
              <w:jc w:val="center"/>
              <w:rPr>
                <w:sz w:val="20"/>
                <w:szCs w:val="20"/>
              </w:rPr>
            </w:pPr>
            <w:r>
              <w:rPr>
                <w:sz w:val="20"/>
                <w:szCs w:val="20"/>
              </w:rPr>
              <w:t>0,630 – 0,685 µm (5 m* / 12 bits)</w:t>
            </w:r>
          </w:p>
        </w:tc>
      </w:tr>
      <w:tr>
        <w:trPr>
          <w:trHeight w:val="288" w:hRule="atLeast"/>
        </w:trPr>
        <w:tc>
          <w:tcPr>
            <w:tcW w:w="3061" w:type="dxa"/>
            <w:tcBorders/>
            <w:shd w:color="auto" w:fill="auto" w:val="clear"/>
            <w:vAlign w:val="center"/>
          </w:tcPr>
          <w:p>
            <w:pPr>
              <w:pStyle w:val="Normal"/>
              <w:jc w:val="center"/>
              <w:rPr>
                <w:sz w:val="20"/>
                <w:szCs w:val="20"/>
              </w:rPr>
            </w:pPr>
            <w:r>
              <w:rPr>
                <w:sz w:val="20"/>
                <w:szCs w:val="20"/>
              </w:rPr>
              <w:t>RedEdge</w:t>
            </w:r>
          </w:p>
          <w:p>
            <w:pPr>
              <w:pStyle w:val="Normal"/>
              <w:jc w:val="center"/>
              <w:rPr>
                <w:sz w:val="20"/>
                <w:szCs w:val="20"/>
              </w:rPr>
            </w:pPr>
            <w:r>
              <w:rPr>
                <w:sz w:val="20"/>
                <w:szCs w:val="20"/>
              </w:rPr>
              <w:t>(transição entre as bandas R e NIR)</w:t>
            </w:r>
          </w:p>
        </w:tc>
        <w:tc>
          <w:tcPr>
            <w:tcW w:w="3061" w:type="dxa"/>
            <w:tcBorders/>
            <w:shd w:color="auto" w:fill="auto" w:val="clear"/>
            <w:vAlign w:val="center"/>
          </w:tcPr>
          <w:p>
            <w:pPr>
              <w:pStyle w:val="Normal"/>
              <w:jc w:val="center"/>
              <w:rPr>
                <w:sz w:val="20"/>
                <w:szCs w:val="20"/>
              </w:rPr>
            </w:pPr>
            <w:r>
              <w:rPr>
                <w:sz w:val="20"/>
                <w:szCs w:val="20"/>
              </w:rPr>
              <w:t>---</w:t>
            </w:r>
          </w:p>
        </w:tc>
        <w:tc>
          <w:tcPr>
            <w:tcW w:w="3061" w:type="dxa"/>
            <w:tcBorders/>
            <w:shd w:color="auto" w:fill="auto" w:val="clear"/>
            <w:vAlign w:val="center"/>
          </w:tcPr>
          <w:p>
            <w:pPr>
              <w:pStyle w:val="Normal"/>
              <w:jc w:val="center"/>
              <w:rPr>
                <w:sz w:val="20"/>
                <w:szCs w:val="20"/>
              </w:rPr>
            </w:pPr>
            <w:r>
              <w:rPr>
                <w:sz w:val="20"/>
                <w:szCs w:val="20"/>
              </w:rPr>
              <w:t>0,690 – 0,730 µm (5 m* / 12 bits)</w:t>
            </w:r>
          </w:p>
        </w:tc>
      </w:tr>
      <w:tr>
        <w:trPr>
          <w:trHeight w:val="288" w:hRule="atLeast"/>
        </w:trPr>
        <w:tc>
          <w:tcPr>
            <w:tcW w:w="3061" w:type="dxa"/>
            <w:tcBorders>
              <w:bottom w:val="single" w:sz="4" w:space="0" w:color="000000"/>
            </w:tcBorders>
            <w:shd w:color="auto" w:fill="auto" w:val="clear"/>
            <w:vAlign w:val="center"/>
          </w:tcPr>
          <w:p>
            <w:pPr>
              <w:pStyle w:val="Normal"/>
              <w:jc w:val="center"/>
              <w:rPr>
                <w:sz w:val="20"/>
                <w:szCs w:val="20"/>
              </w:rPr>
            </w:pPr>
            <w:r>
              <w:rPr>
                <w:sz w:val="20"/>
                <w:szCs w:val="20"/>
              </w:rPr>
              <w:t>Infravermelho próximo - NIR</w:t>
            </w:r>
          </w:p>
        </w:tc>
        <w:tc>
          <w:tcPr>
            <w:tcW w:w="3061" w:type="dxa"/>
            <w:tcBorders>
              <w:bottom w:val="single" w:sz="4" w:space="0" w:color="000000"/>
            </w:tcBorders>
            <w:shd w:color="auto" w:fill="auto" w:val="clear"/>
            <w:vAlign w:val="center"/>
          </w:tcPr>
          <w:p>
            <w:pPr>
              <w:pStyle w:val="Normal"/>
              <w:jc w:val="center"/>
              <w:rPr>
                <w:sz w:val="20"/>
                <w:szCs w:val="20"/>
              </w:rPr>
            </w:pPr>
            <w:r>
              <w:rPr>
                <w:sz w:val="20"/>
                <w:szCs w:val="20"/>
              </w:rPr>
              <w:t>0,760 – 0,900 µm (30 m / 8 bits)</w:t>
            </w:r>
          </w:p>
        </w:tc>
        <w:tc>
          <w:tcPr>
            <w:tcW w:w="3061" w:type="dxa"/>
            <w:tcBorders>
              <w:bottom w:val="single" w:sz="4" w:space="0" w:color="000000"/>
            </w:tcBorders>
            <w:shd w:color="auto" w:fill="auto" w:val="clear"/>
            <w:vAlign w:val="center"/>
          </w:tcPr>
          <w:p>
            <w:pPr>
              <w:pStyle w:val="Normal"/>
              <w:jc w:val="center"/>
              <w:rPr>
                <w:sz w:val="20"/>
                <w:szCs w:val="20"/>
              </w:rPr>
            </w:pPr>
            <w:r>
              <w:rPr>
                <w:sz w:val="20"/>
                <w:szCs w:val="20"/>
              </w:rPr>
              <w:t>0,760 – 0,850 µm (5 m* / 12 bits)</w:t>
            </w:r>
          </w:p>
        </w:tc>
      </w:tr>
    </w:tbl>
    <w:p>
      <w:pPr>
        <w:pStyle w:val="Normal"/>
        <w:spacing w:lineRule="auto" w:line="360"/>
        <w:jc w:val="both"/>
        <w:rPr/>
      </w:pPr>
      <w:r>
        <w:rPr/>
        <w:t xml:space="preserve">* </w:t>
      </w:r>
      <w:r>
        <w:rPr>
          <w:sz w:val="20"/>
        </w:rPr>
        <w:t>Tamanho do pixel ortorretificado.</w:t>
      </w:r>
    </w:p>
    <w:p>
      <w:pPr>
        <w:pStyle w:val="Normal"/>
        <w:spacing w:lineRule="auto" w:line="360"/>
        <w:jc w:val="both"/>
        <w:rPr/>
      </w:pPr>
      <w:r>
        <w:rPr/>
      </w:r>
    </w:p>
    <w:p>
      <w:pPr>
        <w:pStyle w:val="Normal"/>
        <w:spacing w:lineRule="auto" w:line="360"/>
        <w:ind w:firstLine="708"/>
        <w:jc w:val="both"/>
        <w:rPr/>
      </w:pPr>
      <w:r>
        <w:rPr/>
        <w:t>Todas as imagens foram processadas no programa computacional SPRING 5.2.1. (Câmera et al., 1996). Primeiramente, as imagens foram recortadas para o tamanho da área de estudo e georreferenciadas utilizando-se uma planta topográfica planimétrica. O método utilizado para fazer a reamostragem dos pixels foi o vizinho mais próximo.</w:t>
      </w:r>
    </w:p>
    <w:p>
      <w:pPr>
        <w:pStyle w:val="Normal"/>
        <w:spacing w:lineRule="auto" w:line="360"/>
        <w:ind w:firstLine="708"/>
        <w:jc w:val="both"/>
        <w:rPr/>
      </w:pPr>
      <w:r>
        <w:rPr/>
        <w:t>As bandas do satélite Landsat 5 / TM foram normalizadas radiometricamente utilizando o Método da Uniformização das Variâncias (MUV), sendo que as bandas obtidas na data de passagem de 08/01/2009 foram utilizadas como referência e as outras bandas das outras datas como ajuste (30/04/2009, 03/07/2009, 20/06/2010 e 22/05/2011). O objetivo foi corrigir as variações dos níveis de cinza dos pixels em cada banda espectral de uma série temporal de imagens causadas pelas mudanças de iluminação do ambiente.</w:t>
      </w:r>
    </w:p>
    <w:p>
      <w:pPr>
        <w:pStyle w:val="Normal"/>
        <w:spacing w:lineRule="auto" w:line="360"/>
        <w:ind w:firstLine="708"/>
        <w:jc w:val="both"/>
        <w:rPr/>
      </w:pPr>
      <w:r>
        <w:rPr/>
        <w:t>Para associar os dados dos inventários florestais (volume com casca da parcela) com os níveis de cinza dos pixels em cada banda espectral, foram delimitadas áreas do mesmo formato e tamanho das parcelas (raio de 12 m) a partir das coordenadas geodésicas (obtidas com GPS) do centro da parcela, utilizando a ferramenta “Mapa de distância” do programa SPRING 5.2.1. Deste modo, os valores de níveis de cinza para cada banda espectral (R, G, B, NIR e RedEdge) e parcela foram obtidos de duas maneiras: a primeira quando a parcela está contida em um único pixel, onde o valor do nível de cinza corresponde ao próprio pixel; e a segunda quando a parcela envolve dois a quatro pixels sendo feitas médias aritméticas.</w:t>
      </w:r>
    </w:p>
    <w:p>
      <w:pPr>
        <w:pStyle w:val="Normal"/>
        <w:spacing w:lineRule="auto" w:line="360"/>
        <w:jc w:val="both"/>
        <w:rPr/>
      </w:pPr>
      <w:r>
        <w:rPr/>
        <w:tab/>
        <w:t xml:space="preserve">Sete índices de vegetação (sendo somente quatro índices foram determinados para o satélite Landsat 5 / TM devido a limitação da banda RedEdge) foram determinados neste estudo com combinações de duas bandas espectrais ou mais, de acordo com as Equações:                 </w:t>
      </w:r>
    </w:p>
    <w:tbl>
      <w:tblPr>
        <w:tblpPr w:bottomFromText="0" w:horzAnchor="text" w:leftFromText="141" w:rightFromText="141" w:tblpX="0" w:tblpY="133" w:topFromText="0" w:vertAnchor="text"/>
        <w:tblW w:w="9378" w:type="dxa"/>
        <w:jc w:val="left"/>
        <w:tblInd w:w="108" w:type="dxa"/>
        <w:tblCellMar>
          <w:top w:w="0" w:type="dxa"/>
          <w:left w:w="108" w:type="dxa"/>
          <w:bottom w:w="0" w:type="dxa"/>
          <w:right w:w="108" w:type="dxa"/>
        </w:tblCellMar>
        <w:tblLook w:firstRow="1" w:noVBand="1" w:lastRow="0" w:firstColumn="1" w:lastColumn="0" w:noHBand="0" w:val="04a0"/>
      </w:tblPr>
      <w:tblGrid>
        <w:gridCol w:w="6683"/>
        <w:gridCol w:w="1879"/>
        <w:gridCol w:w="816"/>
      </w:tblGrid>
      <w:tr>
        <w:trPr>
          <w:trHeight w:val="750" w:hRule="atLeast"/>
        </w:trPr>
        <w:tc>
          <w:tcPr>
            <w:tcW w:w="6683" w:type="dxa"/>
            <w:tcBorders/>
            <w:shd w:color="auto" w:fill="auto" w:val="clear"/>
          </w:tcPr>
          <w:p>
            <w:pPr>
              <w:pStyle w:val="Normal"/>
              <w:spacing w:lineRule="auto" w:line="360"/>
              <w:jc w:val="both"/>
              <w:rPr/>
            </w:pPr>
            <w:r>
              <w:rPr/>
            </w:r>
            <m:oMath xmlns:m="http://schemas.openxmlformats.org/officeDocument/2006/math">
              <m:r>
                <m:rPr>
                  <m:lit/>
                  <m:nor/>
                </m:rPr>
                <w:rPr>
                  <w:rFonts w:ascii="Cambria Math" w:hAnsi="Cambria Math"/>
                </w:rPr>
                <m:t xml:space="preserve">NDVI</m:t>
              </m:r>
              <m:r>
                <w:rPr>
                  <w:rFonts w:ascii="Cambria Math" w:hAnsi="Cambria Math"/>
                </w:rPr>
                <m:t xml:space="preserve">=</m:t>
              </m:r>
              <m:f>
                <m:num>
                  <m:r>
                    <m:rPr>
                      <m:lit/>
                      <m:nor/>
                    </m:rPr>
                    <w:rPr>
                      <w:rFonts w:ascii="Cambria Math" w:hAnsi="Cambria Math"/>
                    </w:rPr>
                    <m:t xml:space="preserve">NIR</m:t>
                  </m:r>
                  <m:r>
                    <w:rPr>
                      <w:rFonts w:ascii="Cambria Math" w:hAnsi="Cambria Math"/>
                    </w:rPr>
                    <m:t xml:space="preserve">−</m:t>
                  </m:r>
                  <m:r>
                    <w:rPr>
                      <w:rFonts w:ascii="Cambria Math" w:hAnsi="Cambria Math"/>
                    </w:rPr>
                    <m:t xml:space="preserve">R</m:t>
                  </m:r>
                </m:num>
                <m:den>
                  <m:r>
                    <m:rPr>
                      <m:lit/>
                      <m:nor/>
                    </m:rPr>
                    <w:rPr>
                      <w:rFonts w:ascii="Cambria Math" w:hAnsi="Cambria Math"/>
                    </w:rPr>
                    <m:t xml:space="preserve">NIR</m:t>
                  </m:r>
                  <m:r>
                    <w:rPr>
                      <w:rFonts w:ascii="Cambria Math" w:hAnsi="Cambria Math"/>
                    </w:rPr>
                    <m:t xml:space="preserve">+</m:t>
                  </m:r>
                  <m:r>
                    <w:rPr>
                      <w:rFonts w:ascii="Cambria Math" w:hAnsi="Cambria Math"/>
                    </w:rPr>
                    <m:t xml:space="preserve">R</m:t>
                  </m:r>
                </m:den>
              </m:f>
            </m:oMath>
          </w:p>
        </w:tc>
        <w:tc>
          <w:tcPr>
            <w:tcW w:w="1879" w:type="dxa"/>
            <w:tcBorders/>
            <w:shd w:color="auto" w:fill="auto" w:val="clear"/>
          </w:tcPr>
          <w:p>
            <w:pPr>
              <w:pStyle w:val="Normal"/>
              <w:spacing w:lineRule="auto" w:line="360"/>
              <w:rPr/>
            </w:pPr>
            <w:r>
              <w:rPr/>
              <w:t xml:space="preserve">Rouse et al. (1974)               </w:t>
            </w:r>
          </w:p>
        </w:tc>
        <w:tc>
          <w:tcPr>
            <w:tcW w:w="816" w:type="dxa"/>
            <w:tcBorders/>
            <w:shd w:color="auto" w:fill="auto" w:val="clear"/>
          </w:tcPr>
          <w:p>
            <w:pPr>
              <w:pStyle w:val="Normal"/>
              <w:spacing w:lineRule="auto" w:line="360"/>
              <w:jc w:val="center"/>
              <w:rPr/>
            </w:pPr>
            <w:r>
              <w:rPr/>
              <w:t>(3)</w:t>
            </w:r>
          </w:p>
        </w:tc>
      </w:tr>
      <w:tr>
        <w:trPr>
          <w:trHeight w:val="845" w:hRule="atLeast"/>
        </w:trPr>
        <w:tc>
          <w:tcPr>
            <w:tcW w:w="6683" w:type="dxa"/>
            <w:tcBorders/>
            <w:shd w:color="auto" w:fill="auto" w:val="clear"/>
          </w:tcPr>
          <w:p>
            <w:pPr>
              <w:pStyle w:val="Normal"/>
              <w:spacing w:lineRule="auto" w:line="360"/>
              <w:jc w:val="both"/>
              <w:rPr/>
            </w:pPr>
            <w:r>
              <w:rPr/>
            </w:r>
            <m:oMath xmlns:m="http://schemas.openxmlformats.org/officeDocument/2006/math">
              <m:r>
                <m:rPr>
                  <m:lit/>
                  <m:nor/>
                </m:rPr>
                <w:rPr>
                  <w:rFonts w:ascii="Cambria Math" w:hAnsi="Cambria Math"/>
                </w:rPr>
                <m:t xml:space="preserve">OSAVI</m:t>
              </m:r>
              <m:r>
                <w:rPr>
                  <w:rFonts w:ascii="Cambria Math" w:hAnsi="Cambria Math"/>
                </w:rPr>
                <m:t xml:space="preserve">=</m:t>
              </m:r>
              <m:f>
                <m:num>
                  <m:d>
                    <m:dPr>
                      <m:begChr m:val="("/>
                      <m:endChr m:val=")"/>
                    </m:dPr>
                    <m:e>
                      <m:r>
                        <w:rPr>
                          <w:rFonts w:ascii="Cambria Math" w:hAnsi="Cambria Math"/>
                        </w:rPr>
                        <m:t xml:space="preserve">1</m:t>
                      </m:r>
                      <m:r>
                        <w:rPr>
                          <w:rFonts w:ascii="Cambria Math" w:hAnsi="Cambria Math"/>
                        </w:rPr>
                        <m:t xml:space="preserve">+</m:t>
                      </m:r>
                      <m:r>
                        <m:rPr>
                          <m:lit/>
                          <m:nor/>
                        </m:rPr>
                        <w:rPr>
                          <w:rFonts w:ascii="Cambria Math" w:hAnsi="Cambria Math"/>
                        </w:rPr>
                        <m:t xml:space="preserve">0,16</m:t>
                      </m:r>
                    </m:e>
                  </m:d>
                  <m:r>
                    <w:rPr>
                      <w:rFonts w:ascii="Cambria Math" w:hAnsi="Cambria Math"/>
                    </w:rPr>
                    <m:t xml:space="preserve">×</m:t>
                  </m:r>
                  <m:d>
                    <m:dPr>
                      <m:begChr m:val="("/>
                      <m:endChr m:val=")"/>
                    </m:dPr>
                    <m:e>
                      <m:r>
                        <m:rPr>
                          <m:lit/>
                          <m:nor/>
                        </m:rPr>
                        <w:rPr>
                          <w:rFonts w:ascii="Cambria Math" w:hAnsi="Cambria Math"/>
                        </w:rPr>
                        <m:t xml:space="preserve">NIR - R</m:t>
                      </m:r>
                    </m:e>
                  </m:d>
                </m:num>
                <m:den>
                  <m:d>
                    <m:dPr>
                      <m:begChr m:val="("/>
                      <m:endChr m:val=")"/>
                    </m:dPr>
                    <m:e>
                      <m:r>
                        <m:rPr>
                          <m:lit/>
                          <m:nor/>
                        </m:rPr>
                        <w:rPr>
                          <w:rFonts w:ascii="Cambria Math" w:hAnsi="Cambria Math"/>
                        </w:rPr>
                        <m:t xml:space="preserve">NIR</m:t>
                      </m:r>
                      <m:r>
                        <w:rPr>
                          <w:rFonts w:ascii="Cambria Math" w:hAnsi="Cambria Math"/>
                        </w:rPr>
                        <m:t xml:space="preserve">+</m:t>
                      </m:r>
                      <m:r>
                        <m:rPr>
                          <m:lit/>
                          <m:nor/>
                        </m:rPr>
                        <w:rPr>
                          <w:rFonts w:ascii="Cambria Math" w:hAnsi="Cambria Math"/>
                        </w:rPr>
                        <m:t xml:space="preserve">R </m:t>
                      </m:r>
                      <m:r>
                        <w:rPr>
                          <w:rFonts w:ascii="Cambria Math" w:hAnsi="Cambria Math"/>
                        </w:rPr>
                        <m:t xml:space="preserve">+</m:t>
                      </m:r>
                      <m:r>
                        <m:rPr>
                          <m:lit/>
                          <m:nor/>
                        </m:rPr>
                        <w:rPr>
                          <w:rFonts w:ascii="Cambria Math" w:hAnsi="Cambria Math"/>
                        </w:rPr>
                        <m:t xml:space="preserve"> 0,16</m:t>
                      </m:r>
                    </m:e>
                  </m:d>
                </m:den>
              </m:f>
            </m:oMath>
          </w:p>
        </w:tc>
        <w:tc>
          <w:tcPr>
            <w:tcW w:w="1879" w:type="dxa"/>
            <w:tcBorders/>
            <w:shd w:color="auto" w:fill="auto" w:val="clear"/>
          </w:tcPr>
          <w:p>
            <w:pPr>
              <w:pStyle w:val="Normal"/>
              <w:spacing w:lineRule="auto" w:line="360"/>
              <w:rPr/>
            </w:pPr>
            <w:r>
              <w:rPr>
                <w:lang w:val="en-US"/>
              </w:rPr>
              <w:t>Rondeaux et al. (1996)</w:t>
            </w:r>
          </w:p>
        </w:tc>
        <w:tc>
          <w:tcPr>
            <w:tcW w:w="816" w:type="dxa"/>
            <w:tcBorders/>
            <w:shd w:color="auto" w:fill="auto" w:val="clear"/>
          </w:tcPr>
          <w:p>
            <w:pPr>
              <w:pStyle w:val="Normal"/>
              <w:spacing w:lineRule="auto" w:line="360"/>
              <w:jc w:val="center"/>
              <w:rPr/>
            </w:pPr>
            <w:r>
              <w:rPr>
                <w:lang w:val="en-US"/>
              </w:rPr>
              <w:t>(4)</w:t>
            </w:r>
          </w:p>
        </w:tc>
      </w:tr>
      <w:tr>
        <w:trPr>
          <w:trHeight w:val="846" w:hRule="atLeast"/>
        </w:trPr>
        <w:tc>
          <w:tcPr>
            <w:tcW w:w="6683" w:type="dxa"/>
            <w:tcBorders/>
            <w:shd w:color="auto" w:fill="auto" w:val="clear"/>
          </w:tcPr>
          <w:p>
            <w:pPr>
              <w:pStyle w:val="Normal"/>
              <w:spacing w:lineRule="auto" w:line="360"/>
              <w:jc w:val="both"/>
              <w:rPr/>
            </w:pPr>
            <w:r>
              <w:rPr/>
            </w:r>
            <m:oMath xmlns:m="http://schemas.openxmlformats.org/officeDocument/2006/math">
              <m:r>
                <m:rPr>
                  <m:lit/>
                  <m:nor/>
                </m:rPr>
                <w:rPr>
                  <w:rFonts w:ascii="Cambria Math" w:hAnsi="Cambria Math"/>
                </w:rPr>
                <m:t xml:space="preserve">GNDVI</m:t>
              </m:r>
              <m:r>
                <w:rPr>
                  <w:rFonts w:ascii="Cambria Math" w:hAnsi="Cambria Math"/>
                </w:rPr>
                <m:t xml:space="preserve">=</m:t>
              </m:r>
              <m:f>
                <m:num>
                  <m:r>
                    <m:rPr>
                      <m:lit/>
                      <m:nor/>
                    </m:rPr>
                    <w:rPr>
                      <w:rFonts w:ascii="Cambria Math" w:hAnsi="Cambria Math"/>
                    </w:rPr>
                    <m:t xml:space="preserve">NIR</m:t>
                  </m:r>
                  <m:r>
                    <w:rPr>
                      <w:rFonts w:ascii="Cambria Math" w:hAnsi="Cambria Math"/>
                    </w:rPr>
                    <m:t xml:space="preserve">−</m:t>
                  </m:r>
                  <m:r>
                    <w:rPr>
                      <w:rFonts w:ascii="Cambria Math" w:hAnsi="Cambria Math"/>
                    </w:rPr>
                    <m:t xml:space="preserve">G</m:t>
                  </m:r>
                </m:num>
                <m:den>
                  <m:r>
                    <m:rPr>
                      <m:lit/>
                      <m:nor/>
                    </m:rPr>
                    <w:rPr>
                      <w:rFonts w:ascii="Cambria Math" w:hAnsi="Cambria Math"/>
                    </w:rPr>
                    <m:t xml:space="preserve">NIR</m:t>
                  </m:r>
                  <m:r>
                    <w:rPr>
                      <w:rFonts w:ascii="Cambria Math" w:hAnsi="Cambria Math"/>
                    </w:rPr>
                    <m:t xml:space="preserve">+</m:t>
                  </m:r>
                  <m:r>
                    <w:rPr>
                      <w:rFonts w:ascii="Cambria Math" w:hAnsi="Cambria Math"/>
                    </w:rPr>
                    <m:t xml:space="preserve">G</m:t>
                  </m:r>
                </m:den>
              </m:f>
            </m:oMath>
          </w:p>
        </w:tc>
        <w:tc>
          <w:tcPr>
            <w:tcW w:w="1879" w:type="dxa"/>
            <w:tcBorders/>
            <w:shd w:color="auto" w:fill="auto" w:val="clear"/>
          </w:tcPr>
          <w:p>
            <w:pPr>
              <w:pStyle w:val="Normal"/>
              <w:spacing w:lineRule="auto" w:line="360"/>
              <w:rPr/>
            </w:pPr>
            <w:r>
              <w:rPr/>
              <w:t xml:space="preserve">Gitelson et al. (1996)           </w:t>
            </w:r>
          </w:p>
        </w:tc>
        <w:tc>
          <w:tcPr>
            <w:tcW w:w="816" w:type="dxa"/>
            <w:tcBorders/>
            <w:shd w:color="auto" w:fill="auto" w:val="clear"/>
          </w:tcPr>
          <w:p>
            <w:pPr>
              <w:pStyle w:val="Normal"/>
              <w:spacing w:lineRule="auto" w:line="360"/>
              <w:ind w:left="360" w:hanging="360"/>
              <w:jc w:val="center"/>
              <w:rPr/>
            </w:pPr>
            <w:r>
              <w:rPr/>
              <w:t>(5)</w:t>
            </w:r>
          </w:p>
          <w:p>
            <w:pPr>
              <w:pStyle w:val="Normal"/>
              <w:spacing w:lineRule="auto" w:line="360"/>
              <w:jc w:val="center"/>
              <w:rPr/>
            </w:pPr>
            <w:r>
              <w:rPr/>
            </w:r>
          </w:p>
        </w:tc>
      </w:tr>
      <w:tr>
        <w:trPr/>
        <w:tc>
          <w:tcPr>
            <w:tcW w:w="6683" w:type="dxa"/>
            <w:tcBorders/>
            <w:shd w:color="auto" w:fill="auto" w:val="clear"/>
          </w:tcPr>
          <w:p>
            <w:pPr>
              <w:pStyle w:val="Normal"/>
              <w:spacing w:lineRule="auto" w:line="360"/>
              <w:jc w:val="both"/>
              <w:rPr/>
            </w:pPr>
            <w:r>
              <w:rPr/>
            </w:r>
            <m:oMath xmlns:m="http://schemas.openxmlformats.org/officeDocument/2006/math">
              <m:r>
                <m:rPr>
                  <m:lit/>
                  <m:nor/>
                </m:rPr>
                <w:rPr>
                  <w:rFonts w:ascii="Cambria Math" w:hAnsi="Cambria Math"/>
                </w:rPr>
                <m:t xml:space="preserve">MTVI2</m:t>
              </m:r>
              <m:r>
                <w:rPr>
                  <w:rFonts w:ascii="Cambria Math" w:hAnsi="Cambria Math"/>
                </w:rPr>
                <m:t xml:space="preserve">=</m:t>
              </m:r>
              <m:f>
                <m:num>
                  <m:r>
                    <m:rPr>
                      <m:lit/>
                      <m:nor/>
                    </m:rPr>
                    <w:rPr>
                      <w:rFonts w:ascii="Cambria Math" w:hAnsi="Cambria Math"/>
                    </w:rPr>
                    <m:t xml:space="preserve">1,5 </m:t>
                  </m:r>
                  <m:r>
                    <w:rPr>
                      <w:rFonts w:ascii="Cambria Math" w:hAnsi="Cambria Math"/>
                    </w:rPr>
                    <m:t xml:space="preserve">×</m:t>
                  </m:r>
                  <m:d>
                    <m:dPr>
                      <m:begChr m:val="["/>
                      <m:endChr m:val="]"/>
                    </m:dPr>
                    <m:e>
                      <m:r>
                        <m:rPr>
                          <m:lit/>
                          <m:nor/>
                        </m:rPr>
                        <w:rPr>
                          <w:rFonts w:ascii="Cambria Math" w:hAnsi="Cambria Math"/>
                        </w:rPr>
                        <m:t xml:space="preserve">1,2 </m:t>
                      </m:r>
                      <m:r>
                        <w:rPr>
                          <w:rFonts w:ascii="Cambria Math" w:hAnsi="Cambria Math"/>
                        </w:rPr>
                        <m:t xml:space="preserve">×</m:t>
                      </m:r>
                      <m:d>
                        <m:dPr>
                          <m:begChr m:val="("/>
                          <m:endChr m:val=")"/>
                        </m:dPr>
                        <m:e>
                          <m:r>
                            <m:rPr>
                              <m:lit/>
                              <m:nor/>
                            </m:rPr>
                            <w:rPr>
                              <w:rFonts w:ascii="Cambria Math" w:hAnsi="Cambria Math"/>
                            </w:rPr>
                            <m:t xml:space="preserve">NIR - G</m:t>
                          </m:r>
                        </m:e>
                      </m:d>
                      <m:r>
                        <m:rPr>
                          <m:lit/>
                          <m:nor/>
                        </m:rPr>
                        <w:rPr>
                          <w:rFonts w:ascii="Cambria Math" w:hAnsi="Cambria Math"/>
                        </w:rPr>
                        <m:t xml:space="preserve"> - 2,5 </m:t>
                      </m:r>
                      <m:r>
                        <w:rPr>
                          <w:rFonts w:ascii="Cambria Math" w:hAnsi="Cambria Math"/>
                        </w:rPr>
                        <m:t xml:space="preserve">×</m:t>
                      </m:r>
                      <m:d>
                        <m:dPr>
                          <m:begChr m:val="("/>
                          <m:endChr m:val=")"/>
                        </m:dPr>
                        <m:e>
                          <m:r>
                            <m:rPr>
                              <m:lit/>
                              <m:nor/>
                            </m:rPr>
                            <w:rPr>
                              <w:rFonts w:ascii="Cambria Math" w:hAnsi="Cambria Math"/>
                            </w:rPr>
                            <m:t xml:space="preserve">R - G</m:t>
                          </m:r>
                        </m:e>
                      </m:d>
                    </m:e>
                  </m:d>
                </m:num>
                <m:den>
                  <m:rad>
                    <m:radPr>
                      <m:degHide m:val="1"/>
                    </m:radPr>
                    <m:deg/>
                    <m:e>
                      <m:d>
                        <m:dPr>
                          <m:begChr m:val="("/>
                          <m:endChr m:val=")"/>
                        </m:dPr>
                        <m:e>
                          <m:r>
                            <m:rPr>
                              <m:lit/>
                              <m:nor/>
                            </m:rPr>
                            <w:rPr>
                              <w:rFonts w:ascii="Cambria Math" w:hAnsi="Cambria Math"/>
                            </w:rPr>
                            <m:t xml:space="preserve">2 </m:t>
                          </m:r>
                          <m:r>
                            <w:rPr>
                              <w:rFonts w:ascii="Cambria Math" w:hAnsi="Cambria Math"/>
                            </w:rPr>
                            <m:t xml:space="preserve">×</m:t>
                          </m:r>
                          <m:r>
                            <m:rPr>
                              <m:lit/>
                              <m:nor/>
                            </m:rPr>
                            <w:rPr>
                              <w:rFonts w:ascii="Cambria Math" w:hAnsi="Cambria Math"/>
                            </w:rPr>
                            <m:t xml:space="preserve"> NIR </m:t>
                          </m:r>
                          <m:r>
                            <w:rPr>
                              <w:rFonts w:ascii="Cambria Math" w:hAnsi="Cambria Math"/>
                            </w:rPr>
                            <m:t xml:space="preserve">+</m:t>
                          </m:r>
                          <m:r>
                            <m:rPr>
                              <m:lit/>
                              <m:nor/>
                            </m:rPr>
                            <w:rPr>
                              <w:rFonts w:ascii="Cambria Math" w:hAnsi="Cambria Math"/>
                            </w:rPr>
                            <m:t xml:space="preserve"> 1</m:t>
                          </m:r>
                        </m:e>
                      </m:d>
                      <m:r>
                        <m:rPr>
                          <m:lit/>
                          <m:nor/>
                        </m:rPr>
                        <w:rPr>
                          <w:rFonts w:ascii="Cambria Math" w:hAnsi="Cambria Math"/>
                        </w:rPr>
                        <m:t xml:space="preserve">²  - </m:t>
                      </m:r>
                      <m:d>
                        <m:dPr>
                          <m:begChr m:val="("/>
                          <m:endChr m:val=")"/>
                        </m:dPr>
                        <m:e>
                          <m:r>
                            <m:rPr>
                              <m:lit/>
                              <m:nor/>
                            </m:rPr>
                            <w:rPr>
                              <w:rFonts w:ascii="Cambria Math" w:hAnsi="Cambria Math"/>
                            </w:rPr>
                            <m:t xml:space="preserve">6 </m:t>
                          </m:r>
                          <m:r>
                            <w:rPr>
                              <w:rFonts w:ascii="Cambria Math" w:hAnsi="Cambria Math"/>
                            </w:rPr>
                            <m:t xml:space="preserve">×</m:t>
                          </m:r>
                          <m:r>
                            <m:rPr>
                              <m:lit/>
                              <m:nor/>
                            </m:rPr>
                            <w:rPr>
                              <w:rFonts w:ascii="Cambria Math" w:hAnsi="Cambria Math"/>
                            </w:rPr>
                            <m:t xml:space="preserve"> NIR - 5 </m:t>
                          </m:r>
                          <m:r>
                            <w:rPr>
                              <w:rFonts w:ascii="Cambria Math" w:hAnsi="Cambria Math"/>
                            </w:rPr>
                            <m:t xml:space="preserve">×</m:t>
                          </m:r>
                          <m:rad>
                            <m:radPr>
                              <m:degHide m:val="1"/>
                            </m:radPr>
                            <m:deg/>
                            <m:e>
                              <m:r>
                                <w:rPr>
                                  <w:rFonts w:ascii="Cambria Math" w:hAnsi="Cambria Math"/>
                                </w:rPr>
                                <m:t xml:space="preserve">R</m:t>
                              </m:r>
                            </m:e>
                          </m:rad>
                        </m:e>
                      </m:d>
                      <m:r>
                        <m:rPr>
                          <m:lit/>
                          <m:nor/>
                        </m:rPr>
                        <w:rPr>
                          <w:rFonts w:ascii="Cambria Math" w:hAnsi="Cambria Math"/>
                        </w:rPr>
                        <m:t xml:space="preserve"> - 0,5</m:t>
                      </m:r>
                    </m:e>
                  </m:rad>
                </m:den>
              </m:f>
            </m:oMath>
          </w:p>
        </w:tc>
        <w:tc>
          <w:tcPr>
            <w:tcW w:w="1879" w:type="dxa"/>
            <w:tcBorders/>
            <w:shd w:color="auto" w:fill="auto" w:val="clear"/>
          </w:tcPr>
          <w:p>
            <w:pPr>
              <w:pStyle w:val="Normal"/>
              <w:spacing w:lineRule="auto" w:line="360"/>
              <w:rPr/>
            </w:pPr>
            <w:r>
              <w:rPr/>
              <w:t xml:space="preserve">Haboudane et al. (2004)       </w:t>
            </w:r>
          </w:p>
        </w:tc>
        <w:tc>
          <w:tcPr>
            <w:tcW w:w="816" w:type="dxa"/>
            <w:tcBorders/>
            <w:shd w:color="auto" w:fill="auto" w:val="clear"/>
          </w:tcPr>
          <w:p>
            <w:pPr>
              <w:pStyle w:val="Normal"/>
              <w:spacing w:lineRule="auto" w:line="360"/>
              <w:jc w:val="center"/>
              <w:rPr/>
            </w:pPr>
            <w:r>
              <w:rPr/>
              <w:t>(6)</w:t>
            </w:r>
          </w:p>
        </w:tc>
      </w:tr>
      <w:tr>
        <w:trPr/>
        <w:tc>
          <w:tcPr>
            <w:tcW w:w="6683" w:type="dxa"/>
            <w:tcBorders/>
            <w:shd w:color="auto" w:fill="auto" w:val="clear"/>
          </w:tcPr>
          <w:p>
            <w:pPr>
              <w:pStyle w:val="Normal"/>
              <w:spacing w:lineRule="auto" w:line="360"/>
              <w:jc w:val="both"/>
              <w:rPr/>
            </w:pPr>
            <w:r>
              <w:rPr/>
            </w:r>
          </w:p>
          <w:p>
            <w:pPr>
              <w:pStyle w:val="Normal"/>
              <w:spacing w:lineRule="auto" w:line="360"/>
              <w:jc w:val="both"/>
              <w:rPr/>
            </w:pPr>
            <w:r>
              <w:rPr/>
            </w:r>
            <m:oMath xmlns:m="http://schemas.openxmlformats.org/officeDocument/2006/math">
              <m:r>
                <m:rPr>
                  <m:lit/>
                  <m:nor/>
                </m:rPr>
                <w:rPr>
                  <w:rFonts w:ascii="Cambria Math" w:hAnsi="Cambria Math"/>
                </w:rPr>
                <m:t xml:space="preserve">NDRE</m:t>
              </m:r>
              <m:r>
                <w:rPr>
                  <w:rFonts w:ascii="Cambria Math" w:hAnsi="Cambria Math"/>
                </w:rPr>
                <m:t xml:space="preserve">=</m:t>
              </m:r>
              <m:f>
                <m:num>
                  <m:r>
                    <m:rPr>
                      <m:lit/>
                      <m:nor/>
                    </m:rPr>
                    <w:rPr>
                      <w:rFonts w:ascii="Cambria Math" w:hAnsi="Cambria Math"/>
                    </w:rPr>
                    <m:t xml:space="preserve">NIR</m:t>
                  </m:r>
                  <m:r>
                    <w:rPr>
                      <w:rFonts w:ascii="Cambria Math" w:hAnsi="Cambria Math"/>
                    </w:rPr>
                    <m:t xml:space="preserve">−</m:t>
                  </m:r>
                  <m:r>
                    <m:rPr>
                      <m:lit/>
                      <m:nor/>
                    </m:rPr>
                    <w:rPr>
                      <w:rFonts w:ascii="Cambria Math" w:hAnsi="Cambria Math"/>
                    </w:rPr>
                    <m:t xml:space="preserve">Re</m:t>
                  </m:r>
                  <m:r>
                    <m:rPr>
                      <m:lit/>
                      <m:nor/>
                    </m:rPr>
                    <w:rPr>
                      <w:rFonts w:ascii="Cambria Math" w:hAnsi="Cambria Math"/>
                    </w:rPr>
                    <m:t xml:space="preserve">dEdge</m:t>
                  </m:r>
                </m:num>
                <m:den>
                  <m:r>
                    <m:rPr>
                      <m:lit/>
                      <m:nor/>
                    </m:rPr>
                    <w:rPr>
                      <w:rFonts w:ascii="Cambria Math" w:hAnsi="Cambria Math"/>
                    </w:rPr>
                    <m:t xml:space="preserve">NIR</m:t>
                  </m:r>
                  <m:r>
                    <w:rPr>
                      <w:rFonts w:ascii="Cambria Math" w:hAnsi="Cambria Math"/>
                    </w:rPr>
                    <m:t xml:space="preserve">+</m:t>
                  </m:r>
                  <m:r>
                    <m:rPr>
                      <m:lit/>
                      <m:nor/>
                    </m:rPr>
                    <w:rPr>
                      <w:rFonts w:ascii="Cambria Math" w:hAnsi="Cambria Math"/>
                    </w:rPr>
                    <m:t xml:space="preserve">Re</m:t>
                  </m:r>
                  <m:r>
                    <m:rPr>
                      <m:lit/>
                      <m:nor/>
                    </m:rPr>
                    <w:rPr>
                      <w:rFonts w:ascii="Cambria Math" w:hAnsi="Cambria Math"/>
                    </w:rPr>
                    <m:t xml:space="preserve">dEdge</m:t>
                  </m:r>
                </m:den>
              </m:f>
            </m:oMath>
          </w:p>
        </w:tc>
        <w:tc>
          <w:tcPr>
            <w:tcW w:w="1879" w:type="dxa"/>
            <w:tcBorders/>
            <w:shd w:color="auto" w:fill="auto" w:val="clear"/>
          </w:tcPr>
          <w:p>
            <w:pPr>
              <w:pStyle w:val="Normal"/>
              <w:spacing w:lineRule="auto" w:line="360"/>
              <w:rPr/>
            </w:pPr>
            <w:r>
              <w:rPr/>
              <w:t xml:space="preserve">Barnes et al. (2000)                                                         </w:t>
            </w:r>
          </w:p>
        </w:tc>
        <w:tc>
          <w:tcPr>
            <w:tcW w:w="816" w:type="dxa"/>
            <w:tcBorders/>
            <w:shd w:color="auto" w:fill="auto" w:val="clear"/>
          </w:tcPr>
          <w:p>
            <w:pPr>
              <w:pStyle w:val="Normal"/>
              <w:spacing w:lineRule="auto" w:line="360"/>
              <w:jc w:val="center"/>
              <w:rPr/>
            </w:pPr>
            <w:r>
              <w:rPr/>
              <w:t>(7)</w:t>
            </w:r>
          </w:p>
        </w:tc>
      </w:tr>
      <w:tr>
        <w:trPr/>
        <w:tc>
          <w:tcPr>
            <w:tcW w:w="6683" w:type="dxa"/>
            <w:tcBorders/>
            <w:shd w:color="auto" w:fill="auto" w:val="clear"/>
          </w:tcPr>
          <w:p>
            <w:pPr>
              <w:pStyle w:val="Normal"/>
              <w:spacing w:lineRule="auto" w:line="360"/>
              <w:jc w:val="both"/>
              <w:rPr/>
            </w:pPr>
            <w:r>
              <w:rPr/>
            </w:r>
            <m:oMath xmlns:m="http://schemas.openxmlformats.org/officeDocument/2006/math">
              <m:r>
                <m:rPr>
                  <m:lit/>
                  <m:nor/>
                </m:rPr>
                <w:rPr>
                  <w:rFonts w:ascii="Cambria Math" w:hAnsi="Cambria Math"/>
                </w:rPr>
                <m:t xml:space="preserve">TCARI</m:t>
              </m:r>
              <m:r>
                <w:rPr>
                  <w:rFonts w:ascii="Cambria Math" w:hAnsi="Cambria Math"/>
                </w:rPr>
                <m:t xml:space="preserve">=</m:t>
              </m:r>
              <m:r>
                <w:rPr>
                  <w:rFonts w:ascii="Cambria Math" w:hAnsi="Cambria Math"/>
                </w:rPr>
                <m:t xml:space="preserve">3</m:t>
              </m:r>
              <m:r>
                <w:rPr>
                  <w:rFonts w:ascii="Cambria Math" w:hAnsi="Cambria Math"/>
                </w:rPr>
                <m:t xml:space="preserve">×</m:t>
              </m:r>
              <m:d>
                <m:dPr>
                  <m:begChr m:val="["/>
                  <m:endChr m:val="]"/>
                </m:dPr>
                <m:e>
                  <m:d>
                    <m:dPr>
                      <m:begChr m:val="("/>
                      <m:endChr m:val=")"/>
                    </m:dPr>
                    <m:e>
                      <m:r>
                        <m:rPr>
                          <m:lit/>
                          <m:nor/>
                        </m:rPr>
                        <w:rPr>
                          <w:rFonts w:ascii="Cambria Math" w:hAnsi="Cambria Math"/>
                        </w:rPr>
                        <m:t xml:space="preserve">Re</m:t>
                      </m:r>
                      <m:r>
                        <m:rPr>
                          <m:lit/>
                          <m:nor/>
                        </m:rPr>
                        <w:rPr>
                          <w:rFonts w:ascii="Cambria Math" w:hAnsi="Cambria Math"/>
                        </w:rPr>
                        <m:t xml:space="preserve">dEdge</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0,2</m:t>
                  </m:r>
                  <m:r>
                    <w:rPr>
                      <w:rFonts w:ascii="Cambria Math" w:hAnsi="Cambria Math"/>
                    </w:rPr>
                    <m:t xml:space="preserve">×</m:t>
                  </m:r>
                  <m:d>
                    <m:dPr>
                      <m:begChr m:val="("/>
                      <m:endChr m:val=")"/>
                    </m:dPr>
                    <m:e>
                      <m:r>
                        <m:rPr>
                          <m:lit/>
                          <m:nor/>
                        </m:rPr>
                        <w:rPr>
                          <w:rFonts w:ascii="Cambria Math" w:hAnsi="Cambria Math"/>
                        </w:rPr>
                        <m:t xml:space="preserve">Re</m:t>
                      </m:r>
                      <m:r>
                        <m:rPr>
                          <m:lit/>
                          <m:nor/>
                        </m:rPr>
                        <w:rPr>
                          <w:rFonts w:ascii="Cambria Math" w:hAnsi="Cambria Math"/>
                        </w:rPr>
                        <m:t xml:space="preserve">dEdge</m:t>
                      </m:r>
                      <m:r>
                        <w:rPr>
                          <w:rFonts w:ascii="Cambria Math" w:hAnsi="Cambria Math"/>
                        </w:rPr>
                        <m:t xml:space="preserve">−</m:t>
                      </m:r>
                      <m:r>
                        <w:rPr>
                          <w:rFonts w:ascii="Cambria Math" w:hAnsi="Cambria Math"/>
                        </w:rPr>
                        <m:t xml:space="preserve">G</m:t>
                      </m:r>
                    </m:e>
                  </m:d>
                  <m:r>
                    <w:rPr>
                      <w:rFonts w:ascii="Cambria Math" w:hAnsi="Cambria Math"/>
                    </w:rPr>
                    <m:t xml:space="preserve">×</m:t>
                  </m:r>
                  <m:d>
                    <m:dPr>
                      <m:begChr m:val="("/>
                      <m:endChr m:val=")"/>
                    </m:dPr>
                    <m:e>
                      <m:f>
                        <m:num>
                          <m:r>
                            <m:rPr>
                              <m:lit/>
                              <m:nor/>
                            </m:rPr>
                            <w:rPr>
                              <w:rFonts w:ascii="Cambria Math" w:hAnsi="Cambria Math"/>
                            </w:rPr>
                            <m:t xml:space="preserve">Re</m:t>
                          </m:r>
                          <m:r>
                            <m:rPr>
                              <m:lit/>
                              <m:nor/>
                            </m:rPr>
                            <w:rPr>
                              <w:rFonts w:ascii="Cambria Math" w:hAnsi="Cambria Math"/>
                            </w:rPr>
                            <m:t xml:space="preserve">dEdge</m:t>
                          </m:r>
                        </m:num>
                        <m:den>
                          <m:r>
                            <w:rPr>
                              <w:rFonts w:ascii="Cambria Math" w:hAnsi="Cambria Math"/>
                            </w:rPr>
                            <m:t xml:space="preserve">R</m:t>
                          </m:r>
                        </m:den>
                      </m:f>
                    </m:e>
                  </m:d>
                </m:e>
              </m:d>
            </m:oMath>
          </w:p>
        </w:tc>
        <w:tc>
          <w:tcPr>
            <w:tcW w:w="1879" w:type="dxa"/>
            <w:tcBorders/>
            <w:shd w:color="auto" w:fill="auto" w:val="clear"/>
          </w:tcPr>
          <w:p>
            <w:pPr>
              <w:pStyle w:val="Normal"/>
              <w:spacing w:lineRule="auto" w:line="360"/>
              <w:rPr/>
            </w:pPr>
            <w:r>
              <w:rPr/>
              <w:t xml:space="preserve">Haboudane et al. (2002)         </w:t>
            </w:r>
          </w:p>
        </w:tc>
        <w:tc>
          <w:tcPr>
            <w:tcW w:w="816" w:type="dxa"/>
            <w:tcBorders/>
            <w:shd w:color="auto" w:fill="auto" w:val="clear"/>
          </w:tcPr>
          <w:p>
            <w:pPr>
              <w:pStyle w:val="Normal"/>
              <w:spacing w:lineRule="auto" w:line="360"/>
              <w:jc w:val="center"/>
              <w:rPr/>
            </w:pPr>
            <w:r>
              <w:rPr/>
              <w:t>(8)</w:t>
            </w:r>
          </w:p>
        </w:tc>
      </w:tr>
      <w:tr>
        <w:trPr/>
        <w:tc>
          <w:tcPr>
            <w:tcW w:w="6683" w:type="dxa"/>
            <w:tcBorders/>
            <w:shd w:color="auto" w:fill="auto" w:val="clear"/>
          </w:tcPr>
          <w:p>
            <w:pPr>
              <w:pStyle w:val="Normal"/>
              <w:spacing w:lineRule="auto" w:line="360"/>
              <w:jc w:val="both"/>
              <w:rPr/>
            </w:pPr>
            <w:r>
              <w:rPr/>
            </w:r>
            <m:oMath xmlns:m="http://schemas.openxmlformats.org/officeDocument/2006/math">
              <m:r>
                <m:rPr>
                  <m:lit/>
                  <m:nor/>
                </m:rPr>
                <w:rPr>
                  <w:rFonts w:ascii="Cambria Math" w:hAnsi="Cambria Math"/>
                </w:rPr>
                <m:t xml:space="preserve">MCARI</m:t>
              </m:r>
              <m:r>
                <w:rPr>
                  <w:rFonts w:ascii="Cambria Math" w:hAnsi="Cambria Math"/>
                </w:rPr>
                <m:t xml:space="preserve">=</m:t>
              </m:r>
              <m:d>
                <m:dPr>
                  <m:begChr m:val="["/>
                  <m:endChr m:val="]"/>
                </m:dPr>
                <m:e>
                  <m:d>
                    <m:dPr>
                      <m:begChr m:val="("/>
                      <m:endChr m:val=")"/>
                    </m:dPr>
                    <m:e>
                      <m:r>
                        <m:rPr>
                          <m:lit/>
                          <m:nor/>
                        </m:rPr>
                        <w:rPr>
                          <w:rFonts w:ascii="Cambria Math" w:hAnsi="Cambria Math"/>
                        </w:rPr>
                        <m:t xml:space="preserve">Re</m:t>
                      </m:r>
                      <m:r>
                        <m:rPr>
                          <m:lit/>
                          <m:nor/>
                        </m:rPr>
                        <w:rPr>
                          <w:rFonts w:ascii="Cambria Math" w:hAnsi="Cambria Math"/>
                        </w:rPr>
                        <m:t xml:space="preserve">dEdge</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0,2</m:t>
                      </m:r>
                      <m:r>
                        <w:rPr>
                          <w:rFonts w:ascii="Cambria Math" w:hAnsi="Cambria Math"/>
                        </w:rPr>
                        <m:t xml:space="preserve">×</m:t>
                      </m:r>
                      <m:d>
                        <m:dPr>
                          <m:begChr m:val="("/>
                          <m:endChr m:val=")"/>
                        </m:dPr>
                        <m:e>
                          <m:r>
                            <m:rPr>
                              <m:lit/>
                              <m:nor/>
                            </m:rPr>
                            <w:rPr>
                              <w:rFonts w:ascii="Cambria Math" w:hAnsi="Cambria Math"/>
                            </w:rPr>
                            <m:t xml:space="preserve">Re</m:t>
                          </m:r>
                          <m:r>
                            <m:rPr>
                              <m:lit/>
                              <m:nor/>
                            </m:rPr>
                            <w:rPr>
                              <w:rFonts w:ascii="Cambria Math" w:hAnsi="Cambria Math"/>
                            </w:rPr>
                            <m:t xml:space="preserve">dEdge</m:t>
                          </m:r>
                          <m:r>
                            <w:rPr>
                              <w:rFonts w:ascii="Cambria Math" w:hAnsi="Cambria Math"/>
                            </w:rPr>
                            <m:t xml:space="preserve">−</m:t>
                          </m:r>
                          <m:r>
                            <w:rPr>
                              <w:rFonts w:ascii="Cambria Math" w:hAnsi="Cambria Math"/>
                            </w:rPr>
                            <m:t xml:space="preserve">G</m:t>
                          </m:r>
                        </m:e>
                      </m:d>
                    </m:e>
                  </m:d>
                  <m:r>
                    <w:rPr>
                      <w:rFonts w:ascii="Cambria Math" w:hAnsi="Cambria Math"/>
                    </w:rPr>
                    <m:t xml:space="preserve">×</m:t>
                  </m:r>
                  <m:d>
                    <m:dPr>
                      <m:begChr m:val="("/>
                      <m:endChr m:val=")"/>
                    </m:dPr>
                    <m:e>
                      <m:f>
                        <m:num>
                          <m:r>
                            <m:rPr>
                              <m:lit/>
                              <m:nor/>
                            </m:rPr>
                            <w:rPr>
                              <w:rFonts w:ascii="Cambria Math" w:hAnsi="Cambria Math"/>
                            </w:rPr>
                            <m:t xml:space="preserve">Re</m:t>
                          </m:r>
                          <m:r>
                            <m:rPr>
                              <m:lit/>
                              <m:nor/>
                            </m:rPr>
                            <w:rPr>
                              <w:rFonts w:ascii="Cambria Math" w:hAnsi="Cambria Math"/>
                            </w:rPr>
                            <m:t xml:space="preserve">dEdge</m:t>
                          </m:r>
                        </m:num>
                        <m:den>
                          <m:r>
                            <w:rPr>
                              <w:rFonts w:ascii="Cambria Math" w:hAnsi="Cambria Math"/>
                            </w:rPr>
                            <m:t xml:space="preserve">R</m:t>
                          </m:r>
                        </m:den>
                      </m:f>
                    </m:e>
                  </m:d>
                </m:e>
              </m:d>
            </m:oMath>
          </w:p>
        </w:tc>
        <w:tc>
          <w:tcPr>
            <w:tcW w:w="1879" w:type="dxa"/>
            <w:tcBorders/>
            <w:shd w:color="auto" w:fill="auto" w:val="clear"/>
          </w:tcPr>
          <w:p>
            <w:pPr>
              <w:pStyle w:val="Normal"/>
              <w:spacing w:lineRule="auto" w:line="360"/>
              <w:rPr/>
            </w:pPr>
            <w:r>
              <w:rPr/>
              <w:t xml:space="preserve">Daughtry et al. (2000)         </w:t>
            </w:r>
          </w:p>
        </w:tc>
        <w:tc>
          <w:tcPr>
            <w:tcW w:w="816" w:type="dxa"/>
            <w:tcBorders/>
            <w:shd w:color="auto" w:fill="auto" w:val="clear"/>
          </w:tcPr>
          <w:p>
            <w:pPr>
              <w:pStyle w:val="Normal"/>
              <w:spacing w:lineRule="auto" w:line="360"/>
              <w:jc w:val="center"/>
              <w:rPr/>
            </w:pPr>
            <w:r>
              <w:rPr/>
              <w:t>(9)</w:t>
            </w:r>
          </w:p>
        </w:tc>
      </w:tr>
    </w:tbl>
    <w:p>
      <w:pPr>
        <w:pStyle w:val="Normal"/>
        <w:spacing w:lineRule="auto" w:line="360"/>
        <w:jc w:val="both"/>
        <w:rPr/>
      </w:pPr>
      <w:r>
        <w:rPr/>
        <w:t>em que,</w:t>
      </w:r>
    </w:p>
    <w:tbl>
      <w:tblPr>
        <w:tblW w:w="9331" w:type="dxa"/>
        <w:jc w:val="left"/>
        <w:tblInd w:w="0" w:type="dxa"/>
        <w:tblCellMar>
          <w:top w:w="0" w:type="dxa"/>
          <w:left w:w="70" w:type="dxa"/>
          <w:bottom w:w="0" w:type="dxa"/>
          <w:right w:w="70" w:type="dxa"/>
        </w:tblCellMar>
        <w:tblLook w:firstRow="0" w:noVBand="0" w:lastRow="0" w:firstColumn="0" w:lastColumn="0" w:noHBand="0" w:val="0000"/>
      </w:tblPr>
      <w:tblGrid>
        <w:gridCol w:w="1149"/>
        <w:gridCol w:w="180"/>
        <w:gridCol w:w="8002"/>
      </w:tblGrid>
      <w:tr>
        <w:trPr/>
        <w:tc>
          <w:tcPr>
            <w:tcW w:w="1149" w:type="dxa"/>
            <w:tcBorders/>
            <w:shd w:fill="auto" w:val="clear"/>
          </w:tcPr>
          <w:p>
            <w:pPr>
              <w:pStyle w:val="Normal"/>
              <w:spacing w:lineRule="auto" w:line="360"/>
              <w:jc w:val="both"/>
              <w:rPr/>
            </w:pPr>
            <w:r>
              <w:rPr/>
              <w:t>NDVI</w:t>
            </w:r>
          </w:p>
        </w:tc>
        <w:tc>
          <w:tcPr>
            <w:tcW w:w="180" w:type="dxa"/>
            <w:tcBorders/>
            <w:shd w:fill="auto" w:val="clear"/>
          </w:tcPr>
          <w:p>
            <w:pPr>
              <w:pStyle w:val="Normal"/>
              <w:spacing w:lineRule="auto" w:line="360"/>
              <w:jc w:val="both"/>
              <w:rPr/>
            </w:pPr>
            <w:r>
              <w:rPr/>
              <w:t>:</w:t>
            </w:r>
          </w:p>
        </w:tc>
        <w:tc>
          <w:tcPr>
            <w:tcW w:w="8002" w:type="dxa"/>
            <w:tcBorders/>
            <w:shd w:fill="auto" w:val="clear"/>
            <w:vAlign w:val="center"/>
          </w:tcPr>
          <w:p>
            <w:pPr>
              <w:pStyle w:val="Normal"/>
              <w:spacing w:lineRule="auto" w:line="360"/>
              <w:ind w:right="-650" w:hanging="0"/>
              <w:jc w:val="both"/>
              <w:rPr/>
            </w:pPr>
            <w:r>
              <w:rPr/>
              <w:t>Índice de vegetação da diferença normalizada;</w:t>
            </w:r>
          </w:p>
        </w:tc>
      </w:tr>
      <w:tr>
        <w:trPr/>
        <w:tc>
          <w:tcPr>
            <w:tcW w:w="1149" w:type="dxa"/>
            <w:tcBorders/>
            <w:shd w:fill="auto" w:val="clear"/>
          </w:tcPr>
          <w:p>
            <w:pPr>
              <w:pStyle w:val="Normal"/>
              <w:spacing w:lineRule="auto" w:line="360"/>
              <w:ind w:right="-144" w:hanging="0"/>
              <w:jc w:val="both"/>
              <w:rPr/>
            </w:pPr>
            <w:r>
              <w:rPr/>
              <w:t>OSAVI</w:t>
            </w:r>
          </w:p>
        </w:tc>
        <w:tc>
          <w:tcPr>
            <w:tcW w:w="180" w:type="dxa"/>
            <w:tcBorders/>
            <w:shd w:fill="auto" w:val="clear"/>
          </w:tcPr>
          <w:p>
            <w:pPr>
              <w:pStyle w:val="Normal"/>
              <w:spacing w:lineRule="auto" w:line="360"/>
              <w:ind w:right="-71" w:hanging="0"/>
              <w:jc w:val="both"/>
              <w:rPr/>
            </w:pPr>
            <w:r>
              <w:rPr/>
              <w:t>:</w:t>
            </w:r>
          </w:p>
        </w:tc>
        <w:tc>
          <w:tcPr>
            <w:tcW w:w="8002" w:type="dxa"/>
            <w:tcBorders/>
            <w:shd w:fill="auto" w:val="clear"/>
            <w:vAlign w:val="center"/>
          </w:tcPr>
          <w:p>
            <w:pPr>
              <w:pStyle w:val="Normal"/>
              <w:spacing w:lineRule="auto" w:line="360"/>
              <w:jc w:val="both"/>
              <w:rPr/>
            </w:pPr>
            <w:r>
              <w:rPr/>
              <w:t>Índice de vegetação ajustado ao solo otimizado;</w:t>
            </w:r>
          </w:p>
        </w:tc>
      </w:tr>
      <w:tr>
        <w:trPr/>
        <w:tc>
          <w:tcPr>
            <w:tcW w:w="1149" w:type="dxa"/>
            <w:tcBorders/>
            <w:shd w:fill="auto" w:val="clear"/>
          </w:tcPr>
          <w:p>
            <w:pPr>
              <w:pStyle w:val="Normal"/>
              <w:spacing w:lineRule="auto" w:line="360"/>
              <w:ind w:right="-144" w:hanging="0"/>
              <w:jc w:val="both"/>
              <w:rPr/>
            </w:pPr>
            <w:r>
              <w:rPr/>
              <w:t>GNDVI</w:t>
            </w:r>
          </w:p>
        </w:tc>
        <w:tc>
          <w:tcPr>
            <w:tcW w:w="180" w:type="dxa"/>
            <w:tcBorders/>
            <w:shd w:fill="auto" w:val="clear"/>
          </w:tcPr>
          <w:p>
            <w:pPr>
              <w:pStyle w:val="Normal"/>
              <w:spacing w:lineRule="auto" w:line="360"/>
              <w:jc w:val="both"/>
              <w:rPr/>
            </w:pPr>
            <w:r>
              <w:rPr/>
              <w:t>:</w:t>
            </w:r>
          </w:p>
        </w:tc>
        <w:tc>
          <w:tcPr>
            <w:tcW w:w="8002" w:type="dxa"/>
            <w:tcBorders/>
            <w:shd w:fill="auto" w:val="clear"/>
          </w:tcPr>
          <w:p>
            <w:pPr>
              <w:pStyle w:val="Normal"/>
              <w:spacing w:lineRule="auto" w:line="360"/>
              <w:jc w:val="both"/>
              <w:rPr/>
            </w:pPr>
            <w:r>
              <w:rPr/>
              <w:t>Índice de vegetação da diferença normalizada utilizando a banda G;</w:t>
            </w:r>
          </w:p>
        </w:tc>
      </w:tr>
      <w:tr>
        <w:trPr/>
        <w:tc>
          <w:tcPr>
            <w:tcW w:w="1149" w:type="dxa"/>
            <w:tcBorders/>
            <w:shd w:fill="auto" w:val="clear"/>
          </w:tcPr>
          <w:p>
            <w:pPr>
              <w:pStyle w:val="Normal"/>
              <w:spacing w:lineRule="auto" w:line="360"/>
              <w:ind w:right="-145" w:hanging="0"/>
              <w:jc w:val="both"/>
              <w:rPr/>
            </w:pPr>
            <w:r>
              <w:rPr/>
              <w:t>MTVI2</w:t>
            </w:r>
          </w:p>
        </w:tc>
        <w:tc>
          <w:tcPr>
            <w:tcW w:w="180" w:type="dxa"/>
            <w:tcBorders/>
            <w:shd w:fill="auto" w:val="clear"/>
          </w:tcPr>
          <w:p>
            <w:pPr>
              <w:pStyle w:val="Normal"/>
              <w:spacing w:lineRule="auto" w:line="360"/>
              <w:jc w:val="both"/>
              <w:rPr/>
            </w:pPr>
            <w:r>
              <w:rPr/>
              <w:t>:</w:t>
            </w:r>
          </w:p>
        </w:tc>
        <w:tc>
          <w:tcPr>
            <w:tcW w:w="8002" w:type="dxa"/>
            <w:tcBorders/>
            <w:shd w:fill="auto" w:val="clear"/>
            <w:vAlign w:val="center"/>
          </w:tcPr>
          <w:p>
            <w:pPr>
              <w:pStyle w:val="Normal"/>
              <w:spacing w:lineRule="auto" w:line="360"/>
              <w:jc w:val="both"/>
              <w:rPr/>
            </w:pPr>
            <w:r>
              <w:rPr/>
              <w:t>Índice de vegetação triangular modificado 2;</w:t>
            </w:r>
          </w:p>
        </w:tc>
      </w:tr>
      <w:tr>
        <w:trPr/>
        <w:tc>
          <w:tcPr>
            <w:tcW w:w="1149" w:type="dxa"/>
            <w:tcBorders/>
            <w:shd w:fill="auto" w:val="clear"/>
          </w:tcPr>
          <w:p>
            <w:pPr>
              <w:pStyle w:val="Normal"/>
              <w:spacing w:lineRule="auto" w:line="360"/>
              <w:ind w:right="-145" w:hanging="0"/>
              <w:jc w:val="both"/>
              <w:rPr/>
            </w:pPr>
            <w:r>
              <w:rPr/>
              <w:t>NDRE</w:t>
            </w:r>
          </w:p>
        </w:tc>
        <w:tc>
          <w:tcPr>
            <w:tcW w:w="180" w:type="dxa"/>
            <w:tcBorders/>
            <w:shd w:fill="auto" w:val="clear"/>
          </w:tcPr>
          <w:p>
            <w:pPr>
              <w:pStyle w:val="Normal"/>
              <w:spacing w:lineRule="auto" w:line="360"/>
              <w:jc w:val="both"/>
              <w:rPr/>
            </w:pPr>
            <w:r>
              <w:rPr/>
              <w:t>:</w:t>
            </w:r>
          </w:p>
        </w:tc>
        <w:tc>
          <w:tcPr>
            <w:tcW w:w="8002" w:type="dxa"/>
            <w:tcBorders/>
            <w:shd w:fill="auto" w:val="clear"/>
            <w:vAlign w:val="center"/>
          </w:tcPr>
          <w:p>
            <w:pPr>
              <w:pStyle w:val="HTMLPreformatted"/>
              <w:shd w:val="clear" w:color="auto" w:fill="FFFFFF"/>
              <w:rPr>
                <w:rFonts w:ascii="inherit" w:hAnsi="inherit"/>
                <w:color w:val="212121"/>
              </w:rPr>
            </w:pPr>
            <w:r>
              <w:rPr>
                <w:rFonts w:cs="Times New Roman" w:ascii="Times New Roman" w:hAnsi="Times New Roman"/>
                <w:sz w:val="24"/>
                <w:szCs w:val="24"/>
              </w:rPr>
              <w:t>Índice de vegetação da diferença normalizada utilizando a banda RedEdge</w:t>
            </w:r>
            <w:r>
              <w:rPr>
                <w:rFonts w:ascii="inherit" w:hAnsi="inherit"/>
                <w:color w:val="212121"/>
                <w:lang w:val="pt-PT"/>
              </w:rPr>
              <w:t>;</w:t>
            </w:r>
          </w:p>
        </w:tc>
      </w:tr>
      <w:tr>
        <w:trPr/>
        <w:tc>
          <w:tcPr>
            <w:tcW w:w="1149" w:type="dxa"/>
            <w:tcBorders/>
            <w:shd w:fill="auto" w:val="clear"/>
          </w:tcPr>
          <w:p>
            <w:pPr>
              <w:pStyle w:val="Normal"/>
              <w:spacing w:lineRule="auto" w:line="360"/>
              <w:ind w:right="-145" w:hanging="0"/>
              <w:jc w:val="both"/>
              <w:rPr/>
            </w:pPr>
            <w:r>
              <w:rPr/>
              <w:t>TCARI</w:t>
            </w:r>
          </w:p>
        </w:tc>
        <w:tc>
          <w:tcPr>
            <w:tcW w:w="180" w:type="dxa"/>
            <w:tcBorders/>
            <w:shd w:fill="auto" w:val="clear"/>
          </w:tcPr>
          <w:p>
            <w:pPr>
              <w:pStyle w:val="Normal"/>
              <w:spacing w:lineRule="auto" w:line="360"/>
              <w:jc w:val="both"/>
              <w:rPr/>
            </w:pPr>
            <w:r>
              <w:rPr/>
              <w:t>:</w:t>
            </w:r>
          </w:p>
        </w:tc>
        <w:tc>
          <w:tcPr>
            <w:tcW w:w="8002" w:type="dxa"/>
            <w:tcBorders/>
            <w:shd w:fill="auto" w:val="clear"/>
            <w:vAlign w:val="center"/>
          </w:tcPr>
          <w:p>
            <w:pPr>
              <w:pStyle w:val="Normal"/>
              <w:spacing w:lineRule="auto" w:line="360"/>
              <w:ind w:right="-650" w:hanging="0"/>
              <w:jc w:val="both"/>
              <w:rPr/>
            </w:pPr>
            <w:r>
              <w:rPr/>
              <w:t>Índice da absorção da clorofila transformado;</w:t>
            </w:r>
          </w:p>
        </w:tc>
      </w:tr>
      <w:tr>
        <w:trPr/>
        <w:tc>
          <w:tcPr>
            <w:tcW w:w="1149" w:type="dxa"/>
            <w:tcBorders/>
            <w:shd w:fill="auto" w:val="clear"/>
          </w:tcPr>
          <w:p>
            <w:pPr>
              <w:pStyle w:val="Normal"/>
              <w:spacing w:lineRule="auto" w:line="360"/>
              <w:ind w:right="-145" w:hanging="0"/>
              <w:jc w:val="both"/>
              <w:rPr/>
            </w:pPr>
            <w:r>
              <w:rPr/>
              <w:t>MCARI</w:t>
            </w:r>
          </w:p>
        </w:tc>
        <w:tc>
          <w:tcPr>
            <w:tcW w:w="180" w:type="dxa"/>
            <w:tcBorders/>
            <w:shd w:fill="auto" w:val="clear"/>
          </w:tcPr>
          <w:p>
            <w:pPr>
              <w:pStyle w:val="Normal"/>
              <w:spacing w:lineRule="auto" w:line="360"/>
              <w:jc w:val="both"/>
              <w:rPr/>
            </w:pPr>
            <w:r>
              <w:rPr/>
              <w:t>:</w:t>
            </w:r>
          </w:p>
        </w:tc>
        <w:tc>
          <w:tcPr>
            <w:tcW w:w="8002" w:type="dxa"/>
            <w:tcBorders/>
            <w:shd w:fill="auto" w:val="clear"/>
            <w:vAlign w:val="center"/>
          </w:tcPr>
          <w:p>
            <w:pPr>
              <w:pStyle w:val="Normal"/>
              <w:spacing w:lineRule="auto" w:line="360"/>
              <w:jc w:val="both"/>
              <w:rPr/>
            </w:pPr>
            <w:r>
              <w:rPr>
                <w:position w:val="-33"/>
              </w:rPr>
              <w:t>Índice da absorção da clorofila modificado.</w:t>
            </w:r>
          </w:p>
        </w:tc>
      </w:tr>
    </w:tbl>
    <w:p>
      <w:pPr>
        <w:pStyle w:val="Normal"/>
        <w:spacing w:lineRule="auto" w:line="360"/>
        <w:jc w:val="center"/>
        <w:rPr>
          <w:color w:val="FF0000"/>
        </w:rPr>
      </w:pPr>
      <w:r>
        <w:rPr>
          <w:color w:val="FF0000"/>
        </w:rPr>
      </w:r>
    </w:p>
    <w:p>
      <w:pPr>
        <w:pStyle w:val="ListParagraph"/>
        <w:numPr>
          <w:ilvl w:val="1"/>
          <w:numId w:val="1"/>
        </w:numPr>
        <w:tabs>
          <w:tab w:val="clear" w:pos="708"/>
          <w:tab w:val="left" w:pos="567" w:leader="none"/>
        </w:tabs>
        <w:ind w:left="0" w:hanging="0"/>
        <w:rPr>
          <w:rFonts w:ascii="Times New Roman" w:hAnsi="Times New Roman"/>
          <w:b/>
          <w:b/>
          <w:sz w:val="24"/>
          <w:szCs w:val="24"/>
        </w:rPr>
      </w:pPr>
      <w:r>
        <w:rPr>
          <w:rFonts w:ascii="Times New Roman" w:hAnsi="Times New Roman"/>
          <w:b/>
          <w:sz w:val="24"/>
          <w:szCs w:val="24"/>
        </w:rPr>
        <w:t>Análise de Correlação</w:t>
      </w:r>
    </w:p>
    <w:p>
      <w:pPr>
        <w:pStyle w:val="Normal"/>
        <w:spacing w:lineRule="auto" w:line="360"/>
        <w:ind w:firstLine="708"/>
        <w:jc w:val="both"/>
        <w:rPr/>
      </w:pPr>
      <w:r>
        <w:rPr/>
        <w:t>Para verificar a possibilidade de estimar o volume com casca por parcela (m³/ha) por meio das redes neurais artificiais, foram determinados os coeficientes de correlação de Pearson entre as variáveis espectrais bandas e índices de vegetação e o volume por parcela observado nos inventários florestais.</w:t>
      </w:r>
    </w:p>
    <w:p>
      <w:pPr>
        <w:pStyle w:val="ListParagraph"/>
        <w:tabs>
          <w:tab w:val="clear" w:pos="708"/>
          <w:tab w:val="left" w:pos="426" w:leader="none"/>
          <w:tab w:val="left" w:pos="851" w:leader="none"/>
        </w:tabs>
        <w:spacing w:lineRule="auto" w:line="360"/>
        <w:ind w:left="0" w:hanging="0"/>
        <w:jc w:val="both"/>
        <w:rPr>
          <w:rFonts w:ascii="Times New Roman" w:hAnsi="Times New Roman"/>
          <w:b/>
          <w:b/>
          <w:sz w:val="24"/>
          <w:szCs w:val="24"/>
        </w:rPr>
      </w:pPr>
      <w:r>
        <w:rPr>
          <w:rFonts w:ascii="Times New Roman" w:hAnsi="Times New Roman"/>
          <w:b/>
          <w:sz w:val="24"/>
          <w:szCs w:val="24"/>
        </w:rPr>
      </w:r>
    </w:p>
    <w:p>
      <w:pPr>
        <w:pStyle w:val="ListParagraph"/>
        <w:numPr>
          <w:ilvl w:val="1"/>
          <w:numId w:val="1"/>
        </w:numPr>
        <w:tabs>
          <w:tab w:val="clear" w:pos="708"/>
          <w:tab w:val="left" w:pos="567" w:leader="none"/>
        </w:tabs>
        <w:ind w:left="0" w:hanging="0"/>
        <w:rPr>
          <w:rFonts w:ascii="Times New Roman" w:hAnsi="Times New Roman"/>
          <w:b/>
          <w:b/>
          <w:sz w:val="24"/>
          <w:szCs w:val="24"/>
        </w:rPr>
      </w:pPr>
      <w:r>
        <w:rPr>
          <w:rFonts w:ascii="Times New Roman" w:hAnsi="Times New Roman"/>
          <w:b/>
          <w:sz w:val="24"/>
          <w:szCs w:val="24"/>
        </w:rPr>
        <w:t>Processamentos das Redes Neurais Artificiais (RNAs)</w:t>
      </w:r>
    </w:p>
    <w:p>
      <w:pPr>
        <w:pStyle w:val="Normal"/>
        <w:spacing w:lineRule="auto" w:line="360"/>
        <w:ind w:firstLine="708"/>
        <w:jc w:val="both"/>
        <w:rPr/>
      </w:pPr>
      <w:r>
        <w:rPr/>
        <w:t>As estimavas do volume com casca por parcela por meio das RNAs foram simuladas com todas as combinações possíveis de entrada. As variáveis de entrada foram classificadas em quantitativas: cinco bandas espectrais (B, G, R, NIR e RedEdge) e sete índices de vegetação.</w:t>
      </w:r>
    </w:p>
    <w:p>
      <w:pPr>
        <w:pStyle w:val="ListParagraph"/>
        <w:tabs>
          <w:tab w:val="clear" w:pos="708"/>
          <w:tab w:val="left" w:pos="426" w:leader="none"/>
          <w:tab w:val="left" w:pos="851" w:leader="none"/>
        </w:tabs>
        <w:spacing w:lineRule="auto" w:line="360" w:before="0" w:after="0"/>
        <w:ind w:left="0" w:firstLine="709"/>
        <w:contextualSpacing/>
        <w:jc w:val="both"/>
        <w:rPr>
          <w:rFonts w:ascii="Times New Roman" w:hAnsi="Times New Roman"/>
          <w:sz w:val="24"/>
          <w:szCs w:val="24"/>
        </w:rPr>
      </w:pPr>
      <w:r>
        <w:rPr>
          <w:rFonts w:ascii="Times New Roman" w:hAnsi="Times New Roman"/>
          <w:sz w:val="24"/>
          <w:szCs w:val="24"/>
        </w:rPr>
        <w:t>As parcelas foram selecionadas aleatoriamente em três grupos, o primeiro grupo para o treinamento da rede (50% ou 115 parcelas selecionadas), o segundo grupo para seleção (25% ou 56 parcelas) e o terceiro grupo para validação (25% ou 56 parcelas), ou seja, para avaliar a capacidade de estimação das redes para dados desconhecidos.</w:t>
      </w:r>
    </w:p>
    <w:p>
      <w:pPr>
        <w:pStyle w:val="ListParagraph"/>
        <w:tabs>
          <w:tab w:val="clear" w:pos="708"/>
          <w:tab w:val="left" w:pos="426" w:leader="none"/>
          <w:tab w:val="left" w:pos="851" w:leader="none"/>
        </w:tabs>
        <w:spacing w:lineRule="auto" w:line="360" w:before="0" w:after="0"/>
        <w:ind w:left="0" w:firstLine="709"/>
        <w:contextualSpacing/>
        <w:jc w:val="both"/>
        <w:rPr>
          <w:rFonts w:ascii="Times New Roman" w:hAnsi="Times New Roman"/>
          <w:sz w:val="24"/>
          <w:szCs w:val="24"/>
        </w:rPr>
      </w:pPr>
      <w:r>
        <w:rPr>
          <w:rFonts w:ascii="Times New Roman" w:hAnsi="Times New Roman"/>
          <w:sz w:val="24"/>
          <w:szCs w:val="24"/>
        </w:rPr>
        <w:t>Foram treinadas 300 redes e selecionadas as cinco melhores. O treinamento das RNAs foi realizado por meio da ferramenta “Intelligent Problem Solver” do programa computacional Statistica 7  (STATSOFT; INC, 2007). Essa ferramenta normaliza os dados no intervalo de 0 a 1 e testa todos os possíveis tipos (Linear, Perceptron de Múltiplas Camadas e “Radial Basis Function”) e arquiteturas de redes.</w:t>
      </w:r>
    </w:p>
    <w:p>
      <w:pPr>
        <w:pStyle w:val="ListParagraph"/>
        <w:tabs>
          <w:tab w:val="clear" w:pos="708"/>
          <w:tab w:val="left" w:pos="426" w:leader="none"/>
          <w:tab w:val="left" w:pos="851" w:leader="none"/>
        </w:tabs>
        <w:spacing w:lineRule="auto" w:line="360" w:before="0" w:after="0"/>
        <w:ind w:left="0" w:firstLine="709"/>
        <w:contextualSpacing/>
        <w:jc w:val="both"/>
        <w:rPr>
          <w:rFonts w:ascii="Times New Roman" w:hAnsi="Times New Roman"/>
          <w:sz w:val="24"/>
          <w:szCs w:val="24"/>
        </w:rPr>
      </w:pPr>
      <w:r>
        <w:rPr>
          <w:rFonts w:ascii="Times New Roman" w:hAnsi="Times New Roman"/>
          <w:sz w:val="24"/>
          <w:szCs w:val="24"/>
        </w:rPr>
        <w:t>As melhores RNAs foram selecionadas com base na correlação entre o volume com casca por parcela observado e estimado pelas redes, na estabilidade dos índices de treinamento das redes fornecidos pelo programa computacional nas fases de treinamento (criação da RNA), de seleção (parada do treinamento) e de avaliação (aplicação de um conjunto de dados não utilizados no treinamento) e, por último, na arquitetura da rede mais simples.</w:t>
      </w:r>
    </w:p>
    <w:p>
      <w:pPr>
        <w:pStyle w:val="Normal"/>
        <w:spacing w:lineRule="auto" w:line="360"/>
        <w:ind w:firstLine="567"/>
        <w:jc w:val="both"/>
        <w:rPr/>
      </w:pPr>
      <w:r>
        <w:rPr>
          <w:rFonts w:eastAsia="Calibri"/>
          <w:lang w:eastAsia="en-US"/>
        </w:rPr>
        <w:t xml:space="preserve">Os valores observados e estimados do volume com casca por parcela das redes selecionadas foram comparados pelo teste estatístico L&amp;O ao nível de significância de 5% desenvolvido por Leite e Oliveira (2002). </w:t>
      </w:r>
      <w:r>
        <w:rPr/>
        <w:t>As RNAs que se apresentaram estatisticamente iguais foram analisadas graficamente, sendo as demais não apresentadas.</w:t>
      </w:r>
    </w:p>
    <w:p>
      <w:pPr>
        <w:pStyle w:val="Normal"/>
        <w:spacing w:lineRule="auto" w:line="360"/>
        <w:ind w:firstLine="567"/>
        <w:jc w:val="both"/>
        <w:rPr/>
      </w:pPr>
      <w:r>
        <w:rPr>
          <w:rFonts w:eastAsia="Calibri"/>
          <w:lang w:eastAsia="en-US"/>
        </w:rPr>
        <w:t xml:space="preserve">Avaliaram-se também </w:t>
      </w:r>
      <w:r>
        <w:rPr/>
        <w:t xml:space="preserve">a raiz quadrada do erro médio (RQME) e </w:t>
      </w:r>
      <w:r>
        <w:rPr>
          <w:rFonts w:eastAsia="Calibri"/>
          <w:lang w:eastAsia="en-US"/>
        </w:rPr>
        <w:t xml:space="preserve">os </w:t>
      </w:r>
      <w:r>
        <w:rPr/>
        <w:t>gráficos de distribuição dos erros percentuais. De acordo com Campos e Leite (2013) quanto menores as estimativas de RQEM, mais confiável é o modelo ajustado, a RQME foi obtida por:</w:t>
      </w:r>
    </w:p>
    <w:tbl>
      <w:tblPr>
        <w:tblW w:w="9210" w:type="dxa"/>
        <w:jc w:val="left"/>
        <w:tblInd w:w="0" w:type="dxa"/>
        <w:tblCellMar>
          <w:top w:w="0" w:type="dxa"/>
          <w:left w:w="108" w:type="dxa"/>
          <w:bottom w:w="0" w:type="dxa"/>
          <w:right w:w="108" w:type="dxa"/>
        </w:tblCellMar>
        <w:tblLook w:firstRow="1" w:noVBand="1" w:lastRow="0" w:firstColumn="1" w:lastColumn="0" w:noHBand="0" w:val="04a0"/>
      </w:tblPr>
      <w:tblGrid>
        <w:gridCol w:w="4605"/>
        <w:gridCol w:w="4604"/>
      </w:tblGrid>
      <w:tr>
        <w:trPr/>
        <w:tc>
          <w:tcPr>
            <w:tcW w:w="4605" w:type="dxa"/>
            <w:tcBorders/>
            <w:shd w:color="auto" w:fill="auto" w:val="clear"/>
          </w:tcPr>
          <w:p>
            <w:pPr>
              <w:pStyle w:val="Normal"/>
              <w:spacing w:lineRule="auto" w:line="360"/>
              <w:jc w:val="both"/>
              <w:rPr/>
            </w:pPr>
            <w:r>
              <w:rPr/>
            </w:r>
            <m:oMath xmlns:m="http://schemas.openxmlformats.org/officeDocument/2006/math">
              <m:r>
                <w:rPr>
                  <w:rFonts w:ascii="Cambria Math" w:hAnsi="Cambria Math"/>
                </w:rPr>
                <m:t xml:space="preserve">RQ</m:t>
              </m:r>
              <m:r>
                <w:rPr>
                  <w:rFonts w:ascii="Cambria Math" w:hAnsi="Cambria Math"/>
                </w:rPr>
                <m:t xml:space="preserve">E</m:t>
              </m:r>
              <m:r>
                <w:rPr>
                  <w:rFonts w:ascii="Cambria Math" w:hAnsi="Cambria Math"/>
                </w:rPr>
                <m:t xml:space="preserve">M</m:t>
              </m:r>
              <m:d>
                <m:dPr>
                  <m:begChr m:val="("/>
                  <m:endChr m:val=")"/>
                </m:dPr>
                <m:e>
                  <m:r>
                    <m:rPr>
                      <m:lit/>
                      <m:nor/>
                    </m:rPr>
                    <w:rPr>
                      <w:rFonts w:ascii="Cambria Math" w:hAnsi="Cambria Math"/>
                    </w:rPr>
                    <m:t xml:space="preserve">%</m:t>
                  </m:r>
                </m:e>
              </m:d>
              <m:r>
                <w:rPr>
                  <w:rFonts w:ascii="Cambria Math" w:hAnsi="Cambria Math"/>
                </w:rPr>
                <m:t xml:space="preserve">=</m:t>
              </m:r>
              <m:f>
                <m:num>
                  <m:r>
                    <w:rPr>
                      <w:rFonts w:ascii="Cambria Math" w:hAnsi="Cambria Math"/>
                    </w:rPr>
                    <m:t xml:space="preserve">100</m:t>
                  </m:r>
                </m:num>
                <m:den>
                  <m:acc>
                    <m:accPr>
                      <m:chr m:val="´"/>
                    </m:accPr>
                    <m:e>
                      <m:r>
                        <w:rPr>
                          <w:rFonts w:ascii="Cambria Math" w:hAnsi="Cambria Math"/>
                        </w:rPr>
                        <m:t xml:space="preserve">Y</m:t>
                      </m:r>
                    </m:e>
                  </m:acc>
                </m:den>
              </m:f>
              <m:rad>
                <m:radPr>
                  <m:degHide m:val="1"/>
                </m:radPr>
                <m:deg/>
                <m:e>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sepChr m:val="|"/>
                                  <m:endChr m:val=")"/>
                                </m:dPr>
                                <m:e>
                                  <m:r>
                                    <w:rPr>
                                      <w:rFonts w:ascii="Cambria Math" w:hAnsi="Cambria Math"/>
                                    </w:rPr>
                                    <m:t xml:space="preserve">Y</m:t>
                                  </m:r>
                                </m:e>
                                <m:e>
                                  <m:r>
                                    <w:rPr>
                                      <w:rFonts w:ascii="Cambria Math" w:hAnsi="Cambria Math"/>
                                    </w:rPr>
                                    <m:t xml:space="preserve">i</m:t>
                                  </m:r>
                                  <m:r>
                                    <w:rPr>
                                      <w:rFonts w:ascii="Cambria Math" w:hAnsi="Cambria Math"/>
                                    </w:rPr>
                                    <m:t xml:space="preserve">−</m:t>
                                  </m:r>
                                  <m:acc>
                                    <m:accPr>
                                      <m:chr m:val="^"/>
                                    </m:accPr>
                                    <m:e>
                                      <m:sSub>
                                        <m:e>
                                          <m:r>
                                            <w:rPr>
                                              <w:rFonts w:ascii="Cambria Math" w:hAnsi="Cambria Math"/>
                                            </w:rPr>
                                            <m:t xml:space="preserve">Y</m:t>
                                          </m:r>
                                        </m:e>
                                        <m:sub>
                                          <m:r>
                                            <w:rPr>
                                              <w:rFonts w:ascii="Cambria Math" w:hAnsi="Cambria Math"/>
                                            </w:rPr>
                                            <m:t xml:space="preserve">i</m:t>
                                          </m:r>
                                        </m:sub>
                                      </m:sSub>
                                    </m:e>
                                  </m:acc>
                                </m:e>
                              </m:d>
                            </m:e>
                            <m:sup>
                              <m:r>
                                <w:rPr>
                                  <w:rFonts w:ascii="Cambria Math" w:hAnsi="Cambria Math"/>
                                </w:rPr>
                                <m:t xml:space="preserve">2</m:t>
                              </m:r>
                            </m:sup>
                          </m:sSup>
                        </m:e>
                      </m:nary>
                    </m:num>
                    <m:den>
                      <m:r>
                        <w:rPr>
                          <w:rFonts w:ascii="Cambria Math" w:hAnsi="Cambria Math"/>
                        </w:rPr>
                        <m:t xml:space="preserve">n</m:t>
                      </m:r>
                    </m:den>
                  </m:f>
                </m:e>
              </m:rad>
            </m:oMath>
          </w:p>
        </w:tc>
        <w:tc>
          <w:tcPr>
            <w:tcW w:w="4604" w:type="dxa"/>
            <w:tcBorders/>
            <w:shd w:color="auto" w:fill="auto" w:val="clear"/>
            <w:vAlign w:val="center"/>
          </w:tcPr>
          <w:p>
            <w:pPr>
              <w:pStyle w:val="Normal"/>
              <w:spacing w:lineRule="auto" w:line="360"/>
              <w:jc w:val="right"/>
              <w:rPr/>
            </w:pPr>
            <w:r>
              <w:rPr/>
              <w:t>(10)</w:t>
            </w:r>
          </w:p>
        </w:tc>
      </w:tr>
    </w:tbl>
    <w:p>
      <w:pPr>
        <w:pStyle w:val="Normal"/>
        <w:spacing w:lineRule="auto" w:line="360"/>
        <w:jc w:val="both"/>
        <w:rPr/>
      </w:pPr>
      <w:r>
        <w:rPr/>
        <w:t xml:space="preserve">em que, </w:t>
      </w:r>
      <w:r>
        <w:rPr>
          <w:i/>
        </w:rPr>
        <w:t>n</w:t>
      </w:r>
      <w:r>
        <w:rPr/>
        <w:t>: número total de parcelas;</w:t>
      </w:r>
      <w:r>
        <w:rPr/>
      </w:r>
      <m:oMath xmlns:m="http://schemas.openxmlformats.org/officeDocument/2006/math">
        <m:acc>
          <m:accPr>
            <m:chr m:val="´"/>
          </m:accPr>
          <m:e>
            <m:r>
              <w:rPr>
                <w:rFonts w:ascii="Cambria Math" w:hAnsi="Cambria Math"/>
              </w:rPr>
              <m:t xml:space="preserve">Y</m:t>
            </m:r>
          </m:e>
        </m:acc>
      </m:oMath>
      <w:r>
        <w:rPr/>
        <w:t>: é a média dos volumes com casca por parcela observados nos inventários.</w:t>
      </w:r>
    </w:p>
    <w:p>
      <w:pPr>
        <w:pStyle w:val="Normal"/>
        <w:spacing w:lineRule="auto" w:line="360"/>
        <w:ind w:firstLine="567"/>
        <w:jc w:val="both"/>
        <w:rPr/>
      </w:pPr>
      <w:r>
        <w:rPr/>
        <w:t>O erro percentual obtido foi dado por:</w:t>
      </w:r>
    </w:p>
    <w:tbl>
      <w:tblPr>
        <w:tblW w:w="9210" w:type="dxa"/>
        <w:jc w:val="left"/>
        <w:tblInd w:w="0" w:type="dxa"/>
        <w:tblCellMar>
          <w:top w:w="0" w:type="dxa"/>
          <w:left w:w="108" w:type="dxa"/>
          <w:bottom w:w="0" w:type="dxa"/>
          <w:right w:w="108" w:type="dxa"/>
        </w:tblCellMar>
        <w:tblLook w:firstRow="1" w:noVBand="1" w:lastRow="0" w:firstColumn="1" w:lastColumn="0" w:noHBand="0" w:val="04a0"/>
      </w:tblPr>
      <w:tblGrid>
        <w:gridCol w:w="4605"/>
        <w:gridCol w:w="4604"/>
      </w:tblGrid>
      <w:tr>
        <w:trPr/>
        <w:tc>
          <w:tcPr>
            <w:tcW w:w="4605" w:type="dxa"/>
            <w:tcBorders/>
            <w:shd w:color="auto" w:fill="auto" w:val="clear"/>
          </w:tcPr>
          <w:p>
            <w:pPr>
              <w:pStyle w:val="Normal"/>
              <w:spacing w:lineRule="auto" w:line="360"/>
              <w:jc w:val="both"/>
              <w:rPr/>
            </w:pPr>
            <w:r>
              <w:rPr/>
            </w:r>
            <m:oMath xmlns:m="http://schemas.openxmlformats.org/officeDocument/2006/math">
              <m:r>
                <w:rPr>
                  <w:rFonts w:ascii="Cambria Math" w:hAnsi="Cambria Math"/>
                </w:rPr>
                <m:t xml:space="preserve">erro</m:t>
              </m:r>
              <m:d>
                <m:dPr>
                  <m:begChr m:val="("/>
                  <m:endChr m:val=")"/>
                </m:dPr>
                <m:e>
                  <m:r>
                    <m:rPr>
                      <m:lit/>
                      <m:nor/>
                    </m:rPr>
                    <w:rPr>
                      <w:rFonts w:ascii="Cambria Math" w:hAnsi="Cambria Math"/>
                    </w:rPr>
                    <m:t xml:space="preserve">%</m:t>
                  </m:r>
                </m:e>
              </m:d>
              <m:r>
                <w:rPr>
                  <w:rFonts w:ascii="Cambria Math" w:hAnsi="Cambria Math"/>
                </w:rPr>
                <m:t xml:space="preserve">=</m:t>
              </m:r>
              <m:f>
                <m:num>
                  <m:d>
                    <m:dPr>
                      <m:begChr m:val="("/>
                      <m:endChr m:val=")"/>
                    </m:dPr>
                    <m:e>
                      <m:acc>
                        <m:accPr>
                          <m:chr m:val="^"/>
                        </m:accPr>
                        <m:e>
                          <m:sSub>
                            <m:e>
                              <m:r>
                                <w:rPr>
                                  <w:rFonts w:ascii="Cambria Math" w:hAnsi="Cambria Math"/>
                                </w:rPr>
                                <m:t xml:space="preserve">Y</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num>
                <m:den>
                  <m:sSub>
                    <m:e>
                      <m:r>
                        <w:rPr>
                          <w:rFonts w:ascii="Cambria Math" w:hAnsi="Cambria Math"/>
                        </w:rPr>
                        <m:t xml:space="preserve">Y</m:t>
                      </m:r>
                    </m:e>
                    <m:sub>
                      <m:r>
                        <w:rPr>
                          <w:rFonts w:ascii="Cambria Math" w:hAnsi="Cambria Math"/>
                        </w:rPr>
                        <m:t xml:space="preserve">i</m:t>
                      </m:r>
                    </m:sub>
                  </m:sSub>
                </m:den>
              </m:f>
              <m:r>
                <w:rPr>
                  <w:rFonts w:ascii="Cambria Math" w:hAnsi="Cambria Math"/>
                </w:rPr>
                <m:t xml:space="preserve">×</m:t>
              </m:r>
              <m:r>
                <w:rPr>
                  <w:rFonts w:ascii="Cambria Math" w:hAnsi="Cambria Math"/>
                </w:rPr>
                <m:t xml:space="preserve">100</m:t>
              </m:r>
            </m:oMath>
          </w:p>
        </w:tc>
        <w:tc>
          <w:tcPr>
            <w:tcW w:w="4604" w:type="dxa"/>
            <w:tcBorders/>
            <w:shd w:color="auto" w:fill="auto" w:val="clear"/>
          </w:tcPr>
          <w:p>
            <w:pPr>
              <w:pStyle w:val="Normal"/>
              <w:spacing w:lineRule="auto" w:line="360"/>
              <w:jc w:val="right"/>
              <w:rPr/>
            </w:pPr>
            <w:r>
              <w:rPr/>
              <w:t xml:space="preserve">   </w:t>
            </w:r>
            <w:r>
              <w:rPr/>
              <w:t>(11)</w:t>
            </w:r>
          </w:p>
        </w:tc>
      </w:tr>
    </w:tbl>
    <w:p>
      <w:pPr>
        <w:pStyle w:val="Normal"/>
        <w:spacing w:lineRule="auto" w:line="360"/>
        <w:jc w:val="both"/>
        <w:rPr/>
      </w:pPr>
      <w:r>
        <w:rPr/>
        <w:t xml:space="preserve">em que: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t xml:space="preserve"> e </w:t>
      </w:r>
      <w:r>
        <w:rPr/>
      </w:r>
      <m:oMath xmlns:m="http://schemas.openxmlformats.org/officeDocument/2006/math">
        <m:acc>
          <m:accPr>
            <m:chr m:val="^"/>
          </m:accPr>
          <m:e>
            <m:sSub>
              <m:e>
                <m:r>
                  <w:rPr>
                    <w:rFonts w:ascii="Cambria Math" w:hAnsi="Cambria Math"/>
                  </w:rPr>
                  <m:t xml:space="preserve">Y</m:t>
                </m:r>
              </m:e>
              <m:sub>
                <m:r>
                  <w:rPr>
                    <w:rFonts w:ascii="Cambria Math" w:hAnsi="Cambria Math"/>
                  </w:rPr>
                  <m:t xml:space="preserve">i</m:t>
                </m:r>
              </m:sub>
            </m:sSub>
          </m:e>
        </m:acc>
      </m:oMath>
      <w:r>
        <w:rPr>
          <w:i/>
        </w:rPr>
        <w:t xml:space="preserve"> </w:t>
      </w:r>
      <w:r>
        <w:rPr/>
        <w:t>são, respectivamente, volume com casca por parcela observado nos inventários florestais e volume com casca por parcela estimado pela rede neural artificial.</w:t>
      </w:r>
    </w:p>
    <w:p>
      <w:pPr>
        <w:pStyle w:val="Normal"/>
        <w:spacing w:lineRule="auto" w:line="360"/>
        <w:jc w:val="both"/>
        <w:rPr/>
      </w:pPr>
      <w:r>
        <w:rPr/>
      </w:r>
    </w:p>
    <w:p>
      <w:pPr>
        <w:pStyle w:val="Normal"/>
        <w:spacing w:lineRule="auto" w:line="360"/>
        <w:jc w:val="both"/>
        <w:rPr/>
      </w:pPr>
      <w:r>
        <w:rPr/>
      </w:r>
    </w:p>
    <w:p>
      <w:pPr>
        <w:pStyle w:val="Normal"/>
        <w:rPr>
          <w:rFonts w:eastAsia="Calibri"/>
          <w:b/>
          <w:b/>
          <w:lang w:eastAsia="en-US"/>
        </w:rPr>
      </w:pPr>
      <w:r>
        <w:rPr>
          <w:rFonts w:eastAsia="Calibri"/>
          <w:b/>
          <w:lang w:eastAsia="en-US"/>
        </w:rPr>
      </w:r>
      <w:r>
        <w:br w:type="page"/>
      </w:r>
    </w:p>
    <w:p>
      <w:pPr>
        <w:pStyle w:val="ListParagraph"/>
        <w:numPr>
          <w:ilvl w:val="0"/>
          <w:numId w:val="1"/>
        </w:numPr>
        <w:tabs>
          <w:tab w:val="clear" w:pos="708"/>
          <w:tab w:val="left" w:pos="426" w:leader="none"/>
          <w:tab w:val="left" w:pos="851" w:leader="none"/>
        </w:tabs>
        <w:rPr>
          <w:rFonts w:ascii="Times New Roman" w:hAnsi="Times New Roman"/>
          <w:b/>
          <w:b/>
          <w:sz w:val="24"/>
          <w:szCs w:val="24"/>
        </w:rPr>
      </w:pPr>
      <w:r>
        <w:rPr>
          <w:rFonts w:ascii="Times New Roman" w:hAnsi="Times New Roman"/>
          <w:b/>
          <w:sz w:val="24"/>
          <w:szCs w:val="24"/>
        </w:rPr>
        <w:t>RESULTADOS E DISCUSSÃO</w:t>
      </w:r>
    </w:p>
    <w:p>
      <w:pPr>
        <w:pStyle w:val="Normal"/>
        <w:spacing w:lineRule="auto" w:line="360"/>
        <w:ind w:firstLine="567"/>
        <w:jc w:val="both"/>
        <w:rPr/>
      </w:pPr>
      <w:r>
        <w:rPr/>
        <w:t>Para verificar a possibilidade de estimar o volume com casca por parcela (m³/ha) por meio das redes neurais artificiais e imagens digitais, foi realizada, primeiramente, a análise de correlação entre o volume por parcela observado nos inventários florestais (anos 2009, 2010 e 2011) e as variáveis espectrais bandas e índices de vegetação (Tabela 2).</w:t>
      </w:r>
    </w:p>
    <w:p>
      <w:pPr>
        <w:pStyle w:val="Normal"/>
        <w:spacing w:lineRule="auto" w:line="360"/>
        <w:ind w:firstLine="567"/>
        <w:jc w:val="both"/>
        <w:rPr/>
      </w:pPr>
      <w:r>
        <w:rPr/>
      </w:r>
    </w:p>
    <w:p>
      <w:pPr>
        <w:pStyle w:val="Normal"/>
        <w:spacing w:lineRule="auto" w:line="360"/>
        <w:jc w:val="both"/>
        <w:rPr>
          <w:sz w:val="20"/>
          <w:szCs w:val="20"/>
        </w:rPr>
      </w:pPr>
      <w:r>
        <w:rPr>
          <w:sz w:val="20"/>
          <w:szCs w:val="20"/>
        </w:rPr>
        <w:t>Tabela 2 – Análise de correlação entre o volume por parcela observado nos inventários florestais e as variáveis espectrais (G, R, RedEdge, NIR, NDVI, OSAVI, GNDVI, MTVI2, NDRE, TCARI e MCARI)</w:t>
      </w:r>
    </w:p>
    <w:tbl>
      <w:tblPr>
        <w:tblStyle w:val="Tabelacomgrade"/>
        <w:tblW w:w="4350" w:type="pct"/>
        <w:jc w:val="left"/>
        <w:tblInd w:w="0" w:type="dxa"/>
        <w:tblCellMar>
          <w:top w:w="0" w:type="dxa"/>
          <w:left w:w="108" w:type="dxa"/>
          <w:bottom w:w="0" w:type="dxa"/>
          <w:right w:w="108" w:type="dxa"/>
        </w:tblCellMar>
        <w:tblLook w:firstRow="1" w:noVBand="1" w:lastRow="0" w:firstColumn="1" w:lastColumn="0" w:noHBand="0" w:val="04a0"/>
      </w:tblPr>
      <w:tblGrid>
        <w:gridCol w:w="1127"/>
        <w:gridCol w:w="1127"/>
        <w:gridCol w:w="1127"/>
        <w:gridCol w:w="1125"/>
        <w:gridCol w:w="1127"/>
        <w:gridCol w:w="1127"/>
        <w:gridCol w:w="1129"/>
      </w:tblGrid>
      <w:tr>
        <w:trPr/>
        <w:tc>
          <w:tcPr>
            <w:tcW w:w="1127" w:type="dxa"/>
            <w:tcBorders>
              <w:left w:val="nil"/>
              <w:bottom w:val="nil"/>
              <w:right w:val="nil"/>
            </w:tcBorders>
            <w:shd w:fill="auto" w:val="clear"/>
            <w:vAlign w:val="center"/>
          </w:tcPr>
          <w:p>
            <w:pPr>
              <w:pStyle w:val="Normal"/>
              <w:spacing w:lineRule="auto" w:line="360"/>
              <w:jc w:val="both"/>
              <w:rPr>
                <w:sz w:val="20"/>
                <w:szCs w:val="20"/>
              </w:rPr>
            </w:pPr>
            <w:r>
              <w:rPr>
                <w:sz w:val="20"/>
                <w:szCs w:val="20"/>
              </w:rPr>
            </w:r>
          </w:p>
        </w:tc>
        <w:tc>
          <w:tcPr>
            <w:tcW w:w="5633" w:type="dxa"/>
            <w:gridSpan w:val="5"/>
            <w:tcBorders>
              <w:left w:val="nil"/>
              <w:right w:val="nil"/>
            </w:tcBorders>
            <w:shd w:fill="auto" w:val="clear"/>
            <w:vAlign w:val="center"/>
          </w:tcPr>
          <w:p>
            <w:pPr>
              <w:pStyle w:val="Normal"/>
              <w:jc w:val="center"/>
              <w:rPr>
                <w:sz w:val="18"/>
                <w:szCs w:val="18"/>
              </w:rPr>
            </w:pPr>
            <w:r>
              <w:rPr>
                <w:sz w:val="18"/>
                <w:szCs w:val="18"/>
              </w:rPr>
              <w:t>Landsat 5 / TM</w:t>
            </w:r>
          </w:p>
        </w:tc>
        <w:tc>
          <w:tcPr>
            <w:tcW w:w="1129" w:type="dxa"/>
            <w:tcBorders>
              <w:left w:val="nil"/>
              <w:right w:val="nil"/>
            </w:tcBorders>
            <w:shd w:fill="auto" w:val="clear"/>
            <w:vAlign w:val="center"/>
          </w:tcPr>
          <w:p>
            <w:pPr>
              <w:pStyle w:val="Normal"/>
              <w:jc w:val="center"/>
              <w:rPr>
                <w:sz w:val="18"/>
                <w:szCs w:val="18"/>
              </w:rPr>
            </w:pPr>
            <w:r>
              <w:rPr>
                <w:sz w:val="18"/>
                <w:szCs w:val="18"/>
              </w:rPr>
              <w:t>RapidEye</w:t>
            </w:r>
          </w:p>
        </w:tc>
      </w:tr>
      <w:tr>
        <w:trPr>
          <w:trHeight w:val="275" w:hRule="atLeast"/>
        </w:trPr>
        <w:tc>
          <w:tcPr>
            <w:tcW w:w="1127" w:type="dxa"/>
            <w:tcBorders>
              <w:top w:val="nil"/>
              <w:left w:val="nil"/>
              <w:right w:val="nil"/>
            </w:tcBorders>
            <w:shd w:fill="auto" w:val="clear"/>
            <w:vAlign w:val="center"/>
          </w:tcPr>
          <w:p>
            <w:pPr>
              <w:pStyle w:val="Normal"/>
              <w:spacing w:lineRule="auto" w:line="360"/>
              <w:jc w:val="both"/>
              <w:rPr>
                <w:sz w:val="20"/>
                <w:szCs w:val="20"/>
              </w:rPr>
            </w:pPr>
            <w:r>
              <w:rPr>
                <w:sz w:val="20"/>
                <w:szCs w:val="20"/>
              </w:rPr>
            </w:r>
          </w:p>
        </w:tc>
        <w:tc>
          <w:tcPr>
            <w:tcW w:w="1127" w:type="dxa"/>
            <w:tcBorders>
              <w:left w:val="nil"/>
              <w:right w:val="nil"/>
            </w:tcBorders>
            <w:shd w:fill="auto" w:val="clear"/>
            <w:vAlign w:val="center"/>
          </w:tcPr>
          <w:p>
            <w:pPr>
              <w:pStyle w:val="Normal"/>
              <w:jc w:val="center"/>
              <w:rPr>
                <w:sz w:val="20"/>
                <w:szCs w:val="20"/>
              </w:rPr>
            </w:pPr>
            <w:r>
              <w:rPr>
                <w:sz w:val="20"/>
                <w:szCs w:val="20"/>
              </w:rPr>
              <w:t>08/01/2009</w:t>
            </w:r>
          </w:p>
        </w:tc>
        <w:tc>
          <w:tcPr>
            <w:tcW w:w="1127" w:type="dxa"/>
            <w:tcBorders>
              <w:left w:val="nil"/>
              <w:right w:val="nil"/>
            </w:tcBorders>
            <w:shd w:fill="auto" w:val="clear"/>
            <w:vAlign w:val="center"/>
          </w:tcPr>
          <w:p>
            <w:pPr>
              <w:pStyle w:val="Normal"/>
              <w:jc w:val="center"/>
              <w:rPr>
                <w:sz w:val="20"/>
                <w:szCs w:val="20"/>
              </w:rPr>
            </w:pPr>
            <w:r>
              <w:rPr>
                <w:sz w:val="20"/>
                <w:szCs w:val="20"/>
              </w:rPr>
              <w:t>30/04/2009</w:t>
            </w:r>
          </w:p>
        </w:tc>
        <w:tc>
          <w:tcPr>
            <w:tcW w:w="1125" w:type="dxa"/>
            <w:tcBorders>
              <w:left w:val="nil"/>
              <w:right w:val="nil"/>
            </w:tcBorders>
            <w:shd w:fill="auto" w:val="clear"/>
            <w:vAlign w:val="center"/>
          </w:tcPr>
          <w:p>
            <w:pPr>
              <w:pStyle w:val="Normal"/>
              <w:jc w:val="center"/>
              <w:rPr>
                <w:sz w:val="20"/>
                <w:szCs w:val="20"/>
              </w:rPr>
            </w:pPr>
            <w:r>
              <w:rPr>
                <w:sz w:val="20"/>
                <w:szCs w:val="20"/>
              </w:rPr>
              <w:t>03/07/2009</w:t>
            </w:r>
          </w:p>
        </w:tc>
        <w:tc>
          <w:tcPr>
            <w:tcW w:w="1127" w:type="dxa"/>
            <w:tcBorders>
              <w:left w:val="nil"/>
              <w:right w:val="nil"/>
            </w:tcBorders>
            <w:shd w:fill="auto" w:val="clear"/>
            <w:vAlign w:val="center"/>
          </w:tcPr>
          <w:p>
            <w:pPr>
              <w:pStyle w:val="Normal"/>
              <w:jc w:val="center"/>
              <w:rPr>
                <w:sz w:val="20"/>
                <w:szCs w:val="20"/>
              </w:rPr>
            </w:pPr>
            <w:r>
              <w:rPr>
                <w:sz w:val="20"/>
                <w:szCs w:val="20"/>
              </w:rPr>
              <w:t>20/06/2010</w:t>
            </w:r>
          </w:p>
        </w:tc>
        <w:tc>
          <w:tcPr>
            <w:tcW w:w="1127" w:type="dxa"/>
            <w:tcBorders>
              <w:left w:val="nil"/>
              <w:right w:val="nil"/>
            </w:tcBorders>
            <w:shd w:fill="auto" w:val="clear"/>
            <w:vAlign w:val="center"/>
          </w:tcPr>
          <w:p>
            <w:pPr>
              <w:pStyle w:val="Normal"/>
              <w:jc w:val="center"/>
              <w:rPr>
                <w:sz w:val="20"/>
                <w:szCs w:val="20"/>
              </w:rPr>
            </w:pPr>
            <w:r>
              <w:rPr>
                <w:sz w:val="20"/>
                <w:szCs w:val="20"/>
              </w:rPr>
              <w:t>22/05/2011</w:t>
            </w:r>
          </w:p>
        </w:tc>
        <w:tc>
          <w:tcPr>
            <w:tcW w:w="1129" w:type="dxa"/>
            <w:tcBorders>
              <w:left w:val="nil"/>
              <w:right w:val="nil"/>
            </w:tcBorders>
            <w:shd w:fill="auto" w:val="clear"/>
            <w:vAlign w:val="center"/>
          </w:tcPr>
          <w:p>
            <w:pPr>
              <w:pStyle w:val="Normal"/>
              <w:jc w:val="center"/>
              <w:rPr>
                <w:sz w:val="20"/>
                <w:szCs w:val="20"/>
              </w:rPr>
            </w:pPr>
            <w:r>
              <w:rPr>
                <w:sz w:val="20"/>
                <w:szCs w:val="20"/>
              </w:rPr>
              <w:t>20/06/2011</w:t>
            </w:r>
          </w:p>
        </w:tc>
      </w:tr>
      <w:tr>
        <w:trPr/>
        <w:tc>
          <w:tcPr>
            <w:tcW w:w="1127" w:type="dxa"/>
            <w:tcBorders>
              <w:left w:val="nil"/>
              <w:bottom w:val="nil"/>
              <w:right w:val="nil"/>
            </w:tcBorders>
            <w:shd w:fill="auto" w:val="clear"/>
            <w:vAlign w:val="center"/>
          </w:tcPr>
          <w:p>
            <w:pPr>
              <w:pStyle w:val="Normal"/>
              <w:spacing w:lineRule="auto" w:line="360"/>
              <w:jc w:val="both"/>
              <w:rPr>
                <w:sz w:val="20"/>
                <w:szCs w:val="20"/>
              </w:rPr>
            </w:pPr>
            <w:r>
              <w:rPr>
                <w:sz w:val="20"/>
                <w:szCs w:val="20"/>
              </w:rPr>
              <w:t>G</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0,25</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-0,51</w:t>
            </w:r>
          </w:p>
        </w:tc>
        <w:tc>
          <w:tcPr>
            <w:tcW w:w="1125" w:type="dxa"/>
            <w:tcBorders>
              <w:top w:val="nil"/>
              <w:left w:val="nil"/>
              <w:bottom w:val="nil"/>
              <w:right w:val="nil"/>
            </w:tcBorders>
            <w:shd w:fill="auto" w:val="clear"/>
            <w:vAlign w:val="center"/>
          </w:tcPr>
          <w:p>
            <w:pPr>
              <w:pStyle w:val="Normal"/>
              <w:jc w:val="center"/>
              <w:rPr>
                <w:sz w:val="20"/>
                <w:szCs w:val="20"/>
              </w:rPr>
            </w:pPr>
            <w:r>
              <w:rPr>
                <w:sz w:val="20"/>
                <w:szCs w:val="20"/>
              </w:rPr>
              <w:t>-0,41</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-0,40</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-0,66</w:t>
            </w:r>
          </w:p>
        </w:tc>
        <w:tc>
          <w:tcPr>
            <w:tcW w:w="1129" w:type="dxa"/>
            <w:tcBorders>
              <w:top w:val="nil"/>
              <w:left w:val="nil"/>
              <w:bottom w:val="nil"/>
              <w:right w:val="nil"/>
            </w:tcBorders>
            <w:shd w:fill="auto" w:val="clear"/>
            <w:vAlign w:val="center"/>
          </w:tcPr>
          <w:p>
            <w:pPr>
              <w:pStyle w:val="Normal"/>
              <w:jc w:val="center"/>
              <w:rPr>
                <w:sz w:val="20"/>
                <w:szCs w:val="20"/>
              </w:rPr>
            </w:pPr>
            <w:r>
              <w:rPr>
                <w:sz w:val="20"/>
                <w:szCs w:val="20"/>
              </w:rPr>
              <w:t>-0,57</w:t>
            </w:r>
          </w:p>
        </w:tc>
      </w:tr>
      <w:tr>
        <w:trPr/>
        <w:tc>
          <w:tcPr>
            <w:tcW w:w="1127" w:type="dxa"/>
            <w:tcBorders>
              <w:top w:val="nil"/>
              <w:left w:val="nil"/>
              <w:bottom w:val="nil"/>
              <w:right w:val="nil"/>
            </w:tcBorders>
            <w:shd w:fill="auto" w:val="clear"/>
            <w:vAlign w:val="center"/>
          </w:tcPr>
          <w:p>
            <w:pPr>
              <w:pStyle w:val="Normal"/>
              <w:spacing w:lineRule="auto" w:line="360"/>
              <w:jc w:val="both"/>
              <w:rPr>
                <w:sz w:val="20"/>
                <w:szCs w:val="20"/>
              </w:rPr>
            </w:pPr>
            <w:r>
              <w:rPr>
                <w:sz w:val="20"/>
                <w:szCs w:val="20"/>
              </w:rPr>
              <w:t>R</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0,06</w:t>
            </w:r>
            <w:r>
              <w:rPr>
                <w:sz w:val="20"/>
                <w:szCs w:val="20"/>
                <w:vertAlign w:val="superscript"/>
              </w:rPr>
              <w:t>ns</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-0,44</w:t>
            </w:r>
          </w:p>
        </w:tc>
        <w:tc>
          <w:tcPr>
            <w:tcW w:w="1125" w:type="dxa"/>
            <w:tcBorders>
              <w:top w:val="nil"/>
              <w:left w:val="nil"/>
              <w:bottom w:val="nil"/>
              <w:right w:val="nil"/>
            </w:tcBorders>
            <w:shd w:fill="auto" w:val="clear"/>
            <w:vAlign w:val="center"/>
          </w:tcPr>
          <w:p>
            <w:pPr>
              <w:pStyle w:val="Normal"/>
              <w:jc w:val="center"/>
              <w:rPr>
                <w:sz w:val="20"/>
                <w:szCs w:val="20"/>
              </w:rPr>
            </w:pPr>
            <w:r>
              <w:rPr>
                <w:sz w:val="20"/>
                <w:szCs w:val="20"/>
              </w:rPr>
              <w:t>-0,32</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-0,21</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-0,55</w:t>
            </w:r>
          </w:p>
        </w:tc>
        <w:tc>
          <w:tcPr>
            <w:tcW w:w="1129" w:type="dxa"/>
            <w:tcBorders>
              <w:top w:val="nil"/>
              <w:left w:val="nil"/>
              <w:bottom w:val="nil"/>
              <w:right w:val="nil"/>
            </w:tcBorders>
            <w:shd w:fill="auto" w:val="clear"/>
            <w:vAlign w:val="center"/>
          </w:tcPr>
          <w:p>
            <w:pPr>
              <w:pStyle w:val="Normal"/>
              <w:jc w:val="center"/>
              <w:rPr>
                <w:sz w:val="20"/>
                <w:szCs w:val="20"/>
              </w:rPr>
            </w:pPr>
            <w:r>
              <w:rPr>
                <w:sz w:val="20"/>
                <w:szCs w:val="20"/>
              </w:rPr>
              <w:t>-0,54</w:t>
            </w:r>
          </w:p>
        </w:tc>
      </w:tr>
      <w:tr>
        <w:trPr/>
        <w:tc>
          <w:tcPr>
            <w:tcW w:w="1127" w:type="dxa"/>
            <w:tcBorders>
              <w:top w:val="nil"/>
              <w:left w:val="nil"/>
              <w:bottom w:val="nil"/>
              <w:right w:val="nil"/>
            </w:tcBorders>
            <w:shd w:fill="auto" w:val="clear"/>
            <w:vAlign w:val="center"/>
          </w:tcPr>
          <w:p>
            <w:pPr>
              <w:pStyle w:val="Normal"/>
              <w:spacing w:lineRule="auto" w:line="360"/>
              <w:jc w:val="both"/>
              <w:rPr>
                <w:sz w:val="20"/>
                <w:szCs w:val="20"/>
              </w:rPr>
            </w:pPr>
            <w:r>
              <w:rPr>
                <w:sz w:val="20"/>
                <w:szCs w:val="20"/>
              </w:rPr>
              <w:t>RedEdge</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w:t>
            </w:r>
          </w:p>
        </w:tc>
        <w:tc>
          <w:tcPr>
            <w:tcW w:w="1125" w:type="dxa"/>
            <w:tcBorders>
              <w:top w:val="nil"/>
              <w:left w:val="nil"/>
              <w:bottom w:val="nil"/>
              <w:right w:val="nil"/>
            </w:tcBorders>
            <w:shd w:fill="auto" w:val="clear"/>
            <w:vAlign w:val="center"/>
          </w:tcPr>
          <w:p>
            <w:pPr>
              <w:pStyle w:val="Normal"/>
              <w:jc w:val="center"/>
              <w:rPr>
                <w:sz w:val="20"/>
                <w:szCs w:val="20"/>
              </w:rPr>
            </w:pPr>
            <w:r>
              <w:rPr>
                <w:sz w:val="20"/>
                <w:szCs w:val="20"/>
              </w:rPr>
              <w:t>---</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w:t>
            </w:r>
          </w:p>
        </w:tc>
        <w:tc>
          <w:tcPr>
            <w:tcW w:w="1129" w:type="dxa"/>
            <w:tcBorders>
              <w:top w:val="nil"/>
              <w:left w:val="nil"/>
              <w:bottom w:val="nil"/>
              <w:right w:val="nil"/>
            </w:tcBorders>
            <w:shd w:fill="auto" w:val="clear"/>
            <w:vAlign w:val="center"/>
          </w:tcPr>
          <w:p>
            <w:pPr>
              <w:pStyle w:val="Normal"/>
              <w:jc w:val="center"/>
              <w:rPr>
                <w:sz w:val="20"/>
                <w:szCs w:val="20"/>
              </w:rPr>
            </w:pPr>
            <w:r>
              <w:rPr>
                <w:sz w:val="20"/>
                <w:szCs w:val="20"/>
              </w:rPr>
              <w:t>-0,46</w:t>
            </w:r>
          </w:p>
        </w:tc>
      </w:tr>
      <w:tr>
        <w:trPr/>
        <w:tc>
          <w:tcPr>
            <w:tcW w:w="1127" w:type="dxa"/>
            <w:tcBorders>
              <w:top w:val="nil"/>
              <w:left w:val="nil"/>
              <w:bottom w:val="nil"/>
              <w:right w:val="nil"/>
            </w:tcBorders>
            <w:shd w:fill="auto" w:val="clear"/>
            <w:vAlign w:val="center"/>
          </w:tcPr>
          <w:p>
            <w:pPr>
              <w:pStyle w:val="Normal"/>
              <w:spacing w:lineRule="auto" w:line="360"/>
              <w:jc w:val="both"/>
              <w:rPr>
                <w:sz w:val="20"/>
                <w:szCs w:val="20"/>
              </w:rPr>
            </w:pPr>
            <w:r>
              <w:rPr>
                <w:sz w:val="20"/>
                <w:szCs w:val="20"/>
              </w:rPr>
              <w:t>NIR</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0,72</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0,10</w:t>
            </w:r>
            <w:r>
              <w:rPr>
                <w:sz w:val="20"/>
                <w:szCs w:val="20"/>
                <w:vertAlign w:val="superscript"/>
              </w:rPr>
              <w:t>ns</w:t>
            </w:r>
          </w:p>
        </w:tc>
        <w:tc>
          <w:tcPr>
            <w:tcW w:w="1125" w:type="dxa"/>
            <w:tcBorders>
              <w:top w:val="nil"/>
              <w:left w:val="nil"/>
              <w:bottom w:val="nil"/>
              <w:right w:val="nil"/>
            </w:tcBorders>
            <w:shd w:fill="auto" w:val="clear"/>
            <w:vAlign w:val="center"/>
          </w:tcPr>
          <w:p>
            <w:pPr>
              <w:pStyle w:val="Normal"/>
              <w:jc w:val="center"/>
              <w:rPr>
                <w:sz w:val="20"/>
                <w:szCs w:val="20"/>
              </w:rPr>
            </w:pPr>
            <w:r>
              <w:rPr>
                <w:sz w:val="20"/>
                <w:szCs w:val="20"/>
              </w:rPr>
              <w:t>0,13</w:t>
            </w:r>
            <w:r>
              <w:rPr>
                <w:sz w:val="20"/>
                <w:szCs w:val="20"/>
                <w:vertAlign w:val="superscript"/>
              </w:rPr>
              <w:t>ns</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0,05</w:t>
            </w:r>
            <w:r>
              <w:rPr>
                <w:sz w:val="20"/>
                <w:szCs w:val="20"/>
                <w:vertAlign w:val="superscript"/>
              </w:rPr>
              <w:t>ns</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0,04</w:t>
            </w:r>
            <w:r>
              <w:rPr>
                <w:sz w:val="20"/>
                <w:szCs w:val="20"/>
                <w:vertAlign w:val="superscript"/>
              </w:rPr>
              <w:t>ns</w:t>
            </w:r>
          </w:p>
        </w:tc>
        <w:tc>
          <w:tcPr>
            <w:tcW w:w="1129" w:type="dxa"/>
            <w:tcBorders>
              <w:top w:val="nil"/>
              <w:left w:val="nil"/>
              <w:bottom w:val="nil"/>
              <w:right w:val="nil"/>
            </w:tcBorders>
            <w:shd w:fill="auto" w:val="clear"/>
            <w:vAlign w:val="center"/>
          </w:tcPr>
          <w:p>
            <w:pPr>
              <w:pStyle w:val="Normal"/>
              <w:jc w:val="center"/>
              <w:rPr>
                <w:sz w:val="20"/>
                <w:szCs w:val="20"/>
              </w:rPr>
            </w:pPr>
            <w:r>
              <w:rPr>
                <w:sz w:val="20"/>
                <w:szCs w:val="20"/>
              </w:rPr>
              <w:t>0,33</w:t>
            </w:r>
          </w:p>
        </w:tc>
      </w:tr>
      <w:tr>
        <w:trPr/>
        <w:tc>
          <w:tcPr>
            <w:tcW w:w="1127" w:type="dxa"/>
            <w:tcBorders>
              <w:top w:val="nil"/>
              <w:left w:val="nil"/>
              <w:bottom w:val="nil"/>
              <w:right w:val="nil"/>
            </w:tcBorders>
            <w:shd w:fill="auto" w:val="clear"/>
            <w:vAlign w:val="center"/>
          </w:tcPr>
          <w:p>
            <w:pPr>
              <w:pStyle w:val="Normal"/>
              <w:spacing w:lineRule="auto" w:line="360"/>
              <w:jc w:val="both"/>
              <w:rPr>
                <w:sz w:val="20"/>
                <w:szCs w:val="20"/>
              </w:rPr>
            </w:pPr>
            <w:r>
              <w:rPr>
                <w:sz w:val="20"/>
                <w:szCs w:val="20"/>
              </w:rPr>
              <w:t>NDVI</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0,33</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0,42</w:t>
            </w:r>
          </w:p>
        </w:tc>
        <w:tc>
          <w:tcPr>
            <w:tcW w:w="1125" w:type="dxa"/>
            <w:tcBorders>
              <w:top w:val="nil"/>
              <w:left w:val="nil"/>
              <w:bottom w:val="nil"/>
              <w:right w:val="nil"/>
            </w:tcBorders>
            <w:shd w:fill="auto" w:val="clear"/>
            <w:vAlign w:val="center"/>
          </w:tcPr>
          <w:p>
            <w:pPr>
              <w:pStyle w:val="Normal"/>
              <w:jc w:val="center"/>
              <w:rPr>
                <w:sz w:val="20"/>
                <w:szCs w:val="20"/>
              </w:rPr>
            </w:pPr>
            <w:r>
              <w:rPr>
                <w:sz w:val="20"/>
                <w:szCs w:val="20"/>
              </w:rPr>
              <w:t>0,32</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0,24</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0,50</w:t>
            </w:r>
          </w:p>
        </w:tc>
        <w:tc>
          <w:tcPr>
            <w:tcW w:w="1129" w:type="dxa"/>
            <w:tcBorders>
              <w:top w:val="nil"/>
              <w:left w:val="nil"/>
              <w:bottom w:val="nil"/>
              <w:right w:val="nil"/>
            </w:tcBorders>
            <w:shd w:fill="auto" w:val="clear"/>
            <w:vAlign w:val="center"/>
          </w:tcPr>
          <w:p>
            <w:pPr>
              <w:pStyle w:val="Normal"/>
              <w:jc w:val="center"/>
              <w:rPr>
                <w:sz w:val="20"/>
                <w:szCs w:val="20"/>
              </w:rPr>
            </w:pPr>
            <w:r>
              <w:rPr>
                <w:sz w:val="20"/>
                <w:szCs w:val="20"/>
              </w:rPr>
              <w:t>0,63</w:t>
            </w:r>
          </w:p>
        </w:tc>
      </w:tr>
      <w:tr>
        <w:trPr/>
        <w:tc>
          <w:tcPr>
            <w:tcW w:w="1127" w:type="dxa"/>
            <w:tcBorders>
              <w:top w:val="nil"/>
              <w:left w:val="nil"/>
              <w:bottom w:val="nil"/>
              <w:right w:val="nil"/>
            </w:tcBorders>
            <w:shd w:fill="auto" w:val="clear"/>
            <w:vAlign w:val="center"/>
          </w:tcPr>
          <w:p>
            <w:pPr>
              <w:pStyle w:val="Normal"/>
              <w:spacing w:lineRule="auto" w:line="360"/>
              <w:ind w:right="-144" w:hanging="0"/>
              <w:jc w:val="both"/>
              <w:rPr>
                <w:sz w:val="20"/>
                <w:szCs w:val="20"/>
              </w:rPr>
            </w:pPr>
            <w:r>
              <w:rPr>
                <w:sz w:val="20"/>
                <w:szCs w:val="20"/>
              </w:rPr>
              <w:t>OSAVI</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-0,29</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0,42</w:t>
            </w:r>
          </w:p>
        </w:tc>
        <w:tc>
          <w:tcPr>
            <w:tcW w:w="1125" w:type="dxa"/>
            <w:tcBorders>
              <w:top w:val="nil"/>
              <w:left w:val="nil"/>
              <w:bottom w:val="nil"/>
              <w:right w:val="nil"/>
            </w:tcBorders>
            <w:shd w:fill="auto" w:val="clear"/>
            <w:vAlign w:val="center"/>
          </w:tcPr>
          <w:p>
            <w:pPr>
              <w:pStyle w:val="Normal"/>
              <w:jc w:val="center"/>
              <w:rPr>
                <w:sz w:val="20"/>
                <w:szCs w:val="20"/>
              </w:rPr>
            </w:pPr>
            <w:r>
              <w:rPr>
                <w:sz w:val="20"/>
                <w:szCs w:val="20"/>
              </w:rPr>
              <w:t>0,32</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0,24</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0,49</w:t>
            </w:r>
          </w:p>
        </w:tc>
        <w:tc>
          <w:tcPr>
            <w:tcW w:w="1129" w:type="dxa"/>
            <w:tcBorders>
              <w:top w:val="nil"/>
              <w:left w:val="nil"/>
              <w:bottom w:val="nil"/>
              <w:right w:val="nil"/>
            </w:tcBorders>
            <w:shd w:fill="auto" w:val="clear"/>
            <w:vAlign w:val="center"/>
          </w:tcPr>
          <w:p>
            <w:pPr>
              <w:pStyle w:val="Normal"/>
              <w:jc w:val="center"/>
              <w:rPr>
                <w:sz w:val="20"/>
                <w:szCs w:val="20"/>
              </w:rPr>
            </w:pPr>
            <w:r>
              <w:rPr>
                <w:sz w:val="20"/>
                <w:szCs w:val="20"/>
              </w:rPr>
              <w:t>0,63</w:t>
            </w:r>
          </w:p>
        </w:tc>
      </w:tr>
      <w:tr>
        <w:trPr/>
        <w:tc>
          <w:tcPr>
            <w:tcW w:w="1127" w:type="dxa"/>
            <w:tcBorders>
              <w:top w:val="nil"/>
              <w:left w:val="nil"/>
              <w:bottom w:val="nil"/>
              <w:right w:val="nil"/>
            </w:tcBorders>
            <w:shd w:fill="auto" w:val="clear"/>
            <w:vAlign w:val="center"/>
          </w:tcPr>
          <w:p>
            <w:pPr>
              <w:pStyle w:val="Normal"/>
              <w:spacing w:lineRule="auto" w:line="360"/>
              <w:ind w:right="-144" w:hanging="0"/>
              <w:jc w:val="both"/>
              <w:rPr>
                <w:sz w:val="20"/>
                <w:szCs w:val="20"/>
              </w:rPr>
            </w:pPr>
            <w:r>
              <w:rPr>
                <w:sz w:val="20"/>
                <w:szCs w:val="20"/>
              </w:rPr>
              <w:t>GNDVI</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0,33</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0,44</w:t>
            </w:r>
          </w:p>
        </w:tc>
        <w:tc>
          <w:tcPr>
            <w:tcW w:w="1125" w:type="dxa"/>
            <w:tcBorders>
              <w:top w:val="nil"/>
              <w:left w:val="nil"/>
              <w:bottom w:val="nil"/>
              <w:right w:val="nil"/>
            </w:tcBorders>
            <w:shd w:fill="auto" w:val="clear"/>
            <w:vAlign w:val="center"/>
          </w:tcPr>
          <w:p>
            <w:pPr>
              <w:pStyle w:val="Normal"/>
              <w:jc w:val="center"/>
              <w:rPr>
                <w:sz w:val="20"/>
                <w:szCs w:val="20"/>
              </w:rPr>
            </w:pPr>
            <w:r>
              <w:rPr>
                <w:sz w:val="20"/>
                <w:szCs w:val="20"/>
              </w:rPr>
              <w:t>0,34</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0,37</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0,59</w:t>
            </w:r>
          </w:p>
        </w:tc>
        <w:tc>
          <w:tcPr>
            <w:tcW w:w="1129" w:type="dxa"/>
            <w:tcBorders>
              <w:top w:val="nil"/>
              <w:left w:val="nil"/>
              <w:bottom w:val="nil"/>
              <w:right w:val="nil"/>
            </w:tcBorders>
            <w:shd w:fill="auto" w:val="clear"/>
            <w:vAlign w:val="center"/>
          </w:tcPr>
          <w:p>
            <w:pPr>
              <w:pStyle w:val="Normal"/>
              <w:jc w:val="center"/>
              <w:rPr>
                <w:sz w:val="20"/>
                <w:szCs w:val="20"/>
              </w:rPr>
            </w:pPr>
            <w:r>
              <w:rPr>
                <w:sz w:val="20"/>
                <w:szCs w:val="20"/>
              </w:rPr>
              <w:t>0,65</w:t>
            </w:r>
          </w:p>
        </w:tc>
      </w:tr>
      <w:tr>
        <w:trPr/>
        <w:tc>
          <w:tcPr>
            <w:tcW w:w="1127" w:type="dxa"/>
            <w:tcBorders>
              <w:top w:val="nil"/>
              <w:left w:val="nil"/>
              <w:bottom w:val="nil"/>
              <w:right w:val="nil"/>
            </w:tcBorders>
            <w:shd w:fill="auto" w:val="clear"/>
            <w:vAlign w:val="center"/>
          </w:tcPr>
          <w:p>
            <w:pPr>
              <w:pStyle w:val="Normal"/>
              <w:spacing w:lineRule="auto" w:line="360"/>
              <w:ind w:right="-145" w:hanging="0"/>
              <w:jc w:val="both"/>
              <w:rPr>
                <w:sz w:val="20"/>
                <w:szCs w:val="20"/>
              </w:rPr>
            </w:pPr>
            <w:r>
              <w:rPr>
                <w:sz w:val="20"/>
                <w:szCs w:val="20"/>
              </w:rPr>
              <w:t>MTVI2</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0,50</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0,36</w:t>
            </w:r>
          </w:p>
        </w:tc>
        <w:tc>
          <w:tcPr>
            <w:tcW w:w="1125" w:type="dxa"/>
            <w:tcBorders>
              <w:top w:val="nil"/>
              <w:left w:val="nil"/>
              <w:bottom w:val="nil"/>
              <w:right w:val="nil"/>
            </w:tcBorders>
            <w:shd w:fill="auto" w:val="clear"/>
            <w:vAlign w:val="center"/>
          </w:tcPr>
          <w:p>
            <w:pPr>
              <w:pStyle w:val="Normal"/>
              <w:jc w:val="center"/>
              <w:rPr>
                <w:sz w:val="20"/>
                <w:szCs w:val="20"/>
              </w:rPr>
            </w:pPr>
            <w:r>
              <w:rPr>
                <w:sz w:val="20"/>
                <w:szCs w:val="20"/>
              </w:rPr>
              <w:t>0,26</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0,16</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0,39</w:t>
            </w:r>
          </w:p>
        </w:tc>
        <w:tc>
          <w:tcPr>
            <w:tcW w:w="1129" w:type="dxa"/>
            <w:tcBorders>
              <w:top w:val="nil"/>
              <w:left w:val="nil"/>
              <w:bottom w:val="nil"/>
              <w:right w:val="nil"/>
            </w:tcBorders>
            <w:shd w:fill="auto" w:val="clear"/>
            <w:vAlign w:val="center"/>
          </w:tcPr>
          <w:p>
            <w:pPr>
              <w:pStyle w:val="Normal"/>
              <w:jc w:val="center"/>
              <w:rPr>
                <w:sz w:val="20"/>
                <w:szCs w:val="20"/>
              </w:rPr>
            </w:pPr>
            <w:r>
              <w:rPr>
                <w:sz w:val="20"/>
                <w:szCs w:val="20"/>
              </w:rPr>
              <w:t>0,55</w:t>
            </w:r>
          </w:p>
        </w:tc>
      </w:tr>
      <w:tr>
        <w:trPr/>
        <w:tc>
          <w:tcPr>
            <w:tcW w:w="1127" w:type="dxa"/>
            <w:tcBorders>
              <w:top w:val="nil"/>
              <w:left w:val="nil"/>
              <w:bottom w:val="nil"/>
              <w:right w:val="nil"/>
            </w:tcBorders>
            <w:shd w:fill="auto" w:val="clear"/>
            <w:vAlign w:val="center"/>
          </w:tcPr>
          <w:p>
            <w:pPr>
              <w:pStyle w:val="Normal"/>
              <w:spacing w:lineRule="auto" w:line="360"/>
              <w:ind w:right="-145" w:hanging="0"/>
              <w:jc w:val="both"/>
              <w:rPr>
                <w:sz w:val="20"/>
                <w:szCs w:val="20"/>
              </w:rPr>
            </w:pPr>
            <w:r>
              <w:rPr>
                <w:sz w:val="20"/>
                <w:szCs w:val="20"/>
              </w:rPr>
              <w:t>NDRE</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w:t>
            </w:r>
          </w:p>
        </w:tc>
        <w:tc>
          <w:tcPr>
            <w:tcW w:w="1125" w:type="dxa"/>
            <w:tcBorders>
              <w:top w:val="nil"/>
              <w:left w:val="nil"/>
              <w:bottom w:val="nil"/>
              <w:right w:val="nil"/>
            </w:tcBorders>
            <w:shd w:fill="auto" w:val="clear"/>
            <w:vAlign w:val="center"/>
          </w:tcPr>
          <w:p>
            <w:pPr>
              <w:pStyle w:val="Normal"/>
              <w:jc w:val="center"/>
              <w:rPr>
                <w:sz w:val="20"/>
                <w:szCs w:val="20"/>
              </w:rPr>
            </w:pPr>
            <w:r>
              <w:rPr>
                <w:sz w:val="20"/>
                <w:szCs w:val="20"/>
              </w:rPr>
              <w:t>---</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w:t>
            </w:r>
          </w:p>
        </w:tc>
        <w:tc>
          <w:tcPr>
            <w:tcW w:w="1129" w:type="dxa"/>
            <w:tcBorders>
              <w:top w:val="nil"/>
              <w:left w:val="nil"/>
              <w:bottom w:val="nil"/>
              <w:right w:val="nil"/>
            </w:tcBorders>
            <w:shd w:fill="auto" w:val="clear"/>
            <w:vAlign w:val="center"/>
          </w:tcPr>
          <w:p>
            <w:pPr>
              <w:pStyle w:val="Normal"/>
              <w:jc w:val="center"/>
              <w:rPr>
                <w:sz w:val="20"/>
                <w:szCs w:val="20"/>
              </w:rPr>
            </w:pPr>
            <w:r>
              <w:rPr>
                <w:sz w:val="20"/>
                <w:szCs w:val="20"/>
              </w:rPr>
              <w:t>0,66</w:t>
            </w:r>
          </w:p>
        </w:tc>
      </w:tr>
      <w:tr>
        <w:trPr/>
        <w:tc>
          <w:tcPr>
            <w:tcW w:w="1127" w:type="dxa"/>
            <w:tcBorders>
              <w:top w:val="nil"/>
              <w:left w:val="nil"/>
              <w:bottom w:val="nil"/>
              <w:right w:val="nil"/>
            </w:tcBorders>
            <w:shd w:fill="auto" w:val="clear"/>
            <w:vAlign w:val="center"/>
          </w:tcPr>
          <w:p>
            <w:pPr>
              <w:pStyle w:val="Normal"/>
              <w:spacing w:lineRule="auto" w:line="360"/>
              <w:ind w:right="-145" w:hanging="0"/>
              <w:jc w:val="both"/>
              <w:rPr>
                <w:sz w:val="20"/>
                <w:szCs w:val="20"/>
              </w:rPr>
            </w:pPr>
            <w:r>
              <w:rPr>
                <w:sz w:val="20"/>
                <w:szCs w:val="20"/>
              </w:rPr>
              <w:t>TCARI</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w:t>
            </w:r>
          </w:p>
        </w:tc>
        <w:tc>
          <w:tcPr>
            <w:tcW w:w="1125" w:type="dxa"/>
            <w:tcBorders>
              <w:top w:val="nil"/>
              <w:left w:val="nil"/>
              <w:bottom w:val="nil"/>
              <w:right w:val="nil"/>
            </w:tcBorders>
            <w:shd w:fill="auto" w:val="clear"/>
            <w:vAlign w:val="center"/>
          </w:tcPr>
          <w:p>
            <w:pPr>
              <w:pStyle w:val="Normal"/>
              <w:jc w:val="center"/>
              <w:rPr>
                <w:sz w:val="20"/>
                <w:szCs w:val="20"/>
              </w:rPr>
            </w:pPr>
            <w:r>
              <w:rPr>
                <w:sz w:val="20"/>
                <w:szCs w:val="20"/>
              </w:rPr>
              <w:t>---</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w:t>
            </w:r>
          </w:p>
        </w:tc>
        <w:tc>
          <w:tcPr>
            <w:tcW w:w="1127" w:type="dxa"/>
            <w:tcBorders>
              <w:top w:val="nil"/>
              <w:left w:val="nil"/>
              <w:bottom w:val="nil"/>
              <w:right w:val="nil"/>
            </w:tcBorders>
            <w:shd w:fill="auto" w:val="clear"/>
            <w:vAlign w:val="center"/>
          </w:tcPr>
          <w:p>
            <w:pPr>
              <w:pStyle w:val="Normal"/>
              <w:jc w:val="center"/>
              <w:rPr>
                <w:sz w:val="20"/>
                <w:szCs w:val="20"/>
              </w:rPr>
            </w:pPr>
            <w:r>
              <w:rPr>
                <w:sz w:val="20"/>
                <w:szCs w:val="20"/>
              </w:rPr>
              <w:t>---</w:t>
            </w:r>
          </w:p>
        </w:tc>
        <w:tc>
          <w:tcPr>
            <w:tcW w:w="1129" w:type="dxa"/>
            <w:tcBorders>
              <w:top w:val="nil"/>
              <w:left w:val="nil"/>
              <w:bottom w:val="nil"/>
              <w:right w:val="nil"/>
            </w:tcBorders>
            <w:shd w:fill="auto" w:val="clear"/>
            <w:vAlign w:val="center"/>
          </w:tcPr>
          <w:p>
            <w:pPr>
              <w:pStyle w:val="Normal"/>
              <w:jc w:val="center"/>
              <w:rPr>
                <w:sz w:val="20"/>
                <w:szCs w:val="20"/>
              </w:rPr>
            </w:pPr>
            <w:r>
              <w:rPr>
                <w:sz w:val="20"/>
                <w:szCs w:val="20"/>
              </w:rPr>
              <w:t>0,48</w:t>
            </w:r>
          </w:p>
        </w:tc>
      </w:tr>
      <w:tr>
        <w:trPr/>
        <w:tc>
          <w:tcPr>
            <w:tcW w:w="1127" w:type="dxa"/>
            <w:tcBorders>
              <w:top w:val="nil"/>
              <w:left w:val="nil"/>
              <w:right w:val="nil"/>
            </w:tcBorders>
            <w:shd w:fill="auto" w:val="clear"/>
            <w:vAlign w:val="center"/>
          </w:tcPr>
          <w:p>
            <w:pPr>
              <w:pStyle w:val="Normal"/>
              <w:spacing w:lineRule="auto" w:line="360"/>
              <w:ind w:right="-145" w:hanging="0"/>
              <w:jc w:val="both"/>
              <w:rPr>
                <w:sz w:val="20"/>
                <w:szCs w:val="20"/>
              </w:rPr>
            </w:pPr>
            <w:r>
              <w:rPr>
                <w:sz w:val="20"/>
                <w:szCs w:val="20"/>
              </w:rPr>
              <w:t>MCARI</w:t>
            </w:r>
          </w:p>
        </w:tc>
        <w:tc>
          <w:tcPr>
            <w:tcW w:w="1127" w:type="dxa"/>
            <w:tcBorders>
              <w:top w:val="nil"/>
              <w:left w:val="nil"/>
              <w:right w:val="nil"/>
            </w:tcBorders>
            <w:shd w:fill="auto" w:val="clear"/>
            <w:vAlign w:val="center"/>
          </w:tcPr>
          <w:p>
            <w:pPr>
              <w:pStyle w:val="Normal"/>
              <w:jc w:val="center"/>
              <w:rPr>
                <w:sz w:val="20"/>
                <w:szCs w:val="20"/>
              </w:rPr>
            </w:pPr>
            <w:r>
              <w:rPr>
                <w:sz w:val="20"/>
                <w:szCs w:val="20"/>
              </w:rPr>
              <w:t>---</w:t>
            </w:r>
          </w:p>
        </w:tc>
        <w:tc>
          <w:tcPr>
            <w:tcW w:w="1127" w:type="dxa"/>
            <w:tcBorders>
              <w:top w:val="nil"/>
              <w:left w:val="nil"/>
              <w:right w:val="nil"/>
            </w:tcBorders>
            <w:shd w:fill="auto" w:val="clear"/>
            <w:vAlign w:val="center"/>
          </w:tcPr>
          <w:p>
            <w:pPr>
              <w:pStyle w:val="Normal"/>
              <w:jc w:val="center"/>
              <w:rPr>
                <w:sz w:val="20"/>
                <w:szCs w:val="20"/>
              </w:rPr>
            </w:pPr>
            <w:r>
              <w:rPr>
                <w:sz w:val="20"/>
                <w:szCs w:val="20"/>
              </w:rPr>
              <w:t>---</w:t>
            </w:r>
          </w:p>
        </w:tc>
        <w:tc>
          <w:tcPr>
            <w:tcW w:w="1125" w:type="dxa"/>
            <w:tcBorders>
              <w:top w:val="nil"/>
              <w:left w:val="nil"/>
              <w:right w:val="nil"/>
            </w:tcBorders>
            <w:shd w:fill="auto" w:val="clear"/>
            <w:vAlign w:val="center"/>
          </w:tcPr>
          <w:p>
            <w:pPr>
              <w:pStyle w:val="Normal"/>
              <w:jc w:val="center"/>
              <w:rPr>
                <w:sz w:val="20"/>
                <w:szCs w:val="20"/>
              </w:rPr>
            </w:pPr>
            <w:r>
              <w:rPr>
                <w:sz w:val="20"/>
                <w:szCs w:val="20"/>
              </w:rPr>
              <w:t>---</w:t>
            </w:r>
          </w:p>
        </w:tc>
        <w:tc>
          <w:tcPr>
            <w:tcW w:w="1127" w:type="dxa"/>
            <w:tcBorders>
              <w:top w:val="nil"/>
              <w:left w:val="nil"/>
              <w:right w:val="nil"/>
            </w:tcBorders>
            <w:shd w:fill="auto" w:val="clear"/>
            <w:vAlign w:val="center"/>
          </w:tcPr>
          <w:p>
            <w:pPr>
              <w:pStyle w:val="Normal"/>
              <w:jc w:val="center"/>
              <w:rPr>
                <w:sz w:val="20"/>
                <w:szCs w:val="20"/>
              </w:rPr>
            </w:pPr>
            <w:r>
              <w:rPr>
                <w:sz w:val="20"/>
                <w:szCs w:val="20"/>
              </w:rPr>
              <w:t>---</w:t>
            </w:r>
          </w:p>
        </w:tc>
        <w:tc>
          <w:tcPr>
            <w:tcW w:w="1127" w:type="dxa"/>
            <w:tcBorders>
              <w:top w:val="nil"/>
              <w:left w:val="nil"/>
              <w:right w:val="nil"/>
            </w:tcBorders>
            <w:shd w:fill="auto" w:val="clear"/>
            <w:vAlign w:val="center"/>
          </w:tcPr>
          <w:p>
            <w:pPr>
              <w:pStyle w:val="Normal"/>
              <w:jc w:val="center"/>
              <w:rPr>
                <w:sz w:val="20"/>
                <w:szCs w:val="20"/>
              </w:rPr>
            </w:pPr>
            <w:r>
              <w:rPr>
                <w:sz w:val="20"/>
                <w:szCs w:val="20"/>
              </w:rPr>
              <w:t>---</w:t>
            </w:r>
          </w:p>
        </w:tc>
        <w:tc>
          <w:tcPr>
            <w:tcW w:w="1129" w:type="dxa"/>
            <w:tcBorders>
              <w:top w:val="nil"/>
              <w:left w:val="nil"/>
              <w:right w:val="nil"/>
            </w:tcBorders>
            <w:shd w:fill="auto" w:val="clear"/>
            <w:vAlign w:val="center"/>
          </w:tcPr>
          <w:p>
            <w:pPr>
              <w:pStyle w:val="Normal"/>
              <w:jc w:val="center"/>
              <w:rPr>
                <w:sz w:val="20"/>
                <w:szCs w:val="20"/>
              </w:rPr>
            </w:pPr>
            <w:r>
              <w:rPr>
                <w:sz w:val="20"/>
                <w:szCs w:val="20"/>
              </w:rPr>
              <w:t>0,53</w:t>
            </w:r>
          </w:p>
        </w:tc>
      </w:tr>
      <w:tr>
        <w:trPr/>
        <w:tc>
          <w:tcPr>
            <w:tcW w:w="7889" w:type="dxa"/>
            <w:gridSpan w:val="7"/>
            <w:tcBorders>
              <w:left w:val="nil"/>
              <w:bottom w:val="nil"/>
              <w:right w:val="nil"/>
            </w:tcBorders>
            <w:shd w:fill="auto" w:val="clear"/>
            <w:vAlign w:val="center"/>
          </w:tcPr>
          <w:p>
            <w:pPr>
              <w:pStyle w:val="Normal"/>
              <w:rPr>
                <w:sz w:val="20"/>
                <w:szCs w:val="20"/>
              </w:rPr>
            </w:pPr>
            <w:r>
              <w:rPr>
                <w:sz w:val="20"/>
                <w:szCs w:val="20"/>
                <w:vertAlign w:val="superscript"/>
              </w:rPr>
              <w:t>ns</w:t>
            </w:r>
            <w:r>
              <w:rPr>
                <w:sz w:val="20"/>
                <w:szCs w:val="20"/>
              </w:rPr>
              <w:t>: Coeficiente de correlação de Pearson não significativo ao nível de 5%.</w:t>
            </w:r>
          </w:p>
        </w:tc>
      </w:tr>
    </w:tbl>
    <w:p>
      <w:pPr>
        <w:pStyle w:val="Normal"/>
        <w:spacing w:lineRule="auto" w:line="360"/>
        <w:ind w:firstLine="567"/>
        <w:jc w:val="both"/>
        <w:rPr/>
      </w:pPr>
      <w:r>
        <w:rPr/>
      </w:r>
    </w:p>
    <w:p>
      <w:pPr>
        <w:pStyle w:val="Normal"/>
        <w:spacing w:lineRule="auto" w:line="360"/>
        <w:ind w:firstLine="567"/>
        <w:jc w:val="both"/>
        <w:rPr/>
      </w:pPr>
      <w:r>
        <w:rPr/>
        <w:t xml:space="preserve">Com exceção da data de aquisição 08/01/2009, as bandas G, R e RedEdge apresentaram correlações negativas com o volume com casca por parcela, enquanto os índices de vegetação e a banda NIR apresentaram correlações positivas, correlações essas que variaram de fraca a moderada, de 0,04 a 0,72. </w:t>
      </w:r>
    </w:p>
    <w:p>
      <w:pPr>
        <w:pStyle w:val="Normal"/>
        <w:spacing w:lineRule="auto" w:line="360"/>
        <w:ind w:firstLine="567"/>
        <w:jc w:val="both"/>
        <w:rPr/>
      </w:pPr>
      <w:r>
        <w:rPr/>
        <w:t xml:space="preserve">Resultados semelhantes foram encontrados por Berra et al. (2012) quando estudaram a correlação entre os dados espectrais (bandas B, G, R e NIR e índices NDVI e RS) do satélite Landsat 5 / TM e o volume por parcela para plantios de </w:t>
      </w:r>
      <w:r>
        <w:rPr>
          <w:i/>
        </w:rPr>
        <w:t>Eucalyptus</w:t>
      </w:r>
      <w:r>
        <w:rPr/>
        <w:t xml:space="preserve"> sp., localizados na região leste do Rio Grande do Sul. Os autores encontraram correlações positivas com os índices de vegetação e a banda do NIR e correlações negativas com as bandas da região do visível, sendo que as maiores correlações encontradas foram com os índices NDVI e RS (0,79 e 0,82, respectivamente) e a banda R (-0,78).</w:t>
      </w:r>
    </w:p>
    <w:p>
      <w:pPr>
        <w:pStyle w:val="Normal"/>
        <w:spacing w:lineRule="auto" w:line="360"/>
        <w:ind w:firstLine="567"/>
        <w:jc w:val="both"/>
        <w:rPr/>
      </w:pPr>
      <w:r>
        <w:rPr/>
        <w:t>Miguel et al. (2015) também encontraram correlações positivas que variaram de fraca a moderada entre o volume de madeira por parcela de um fragmento de cerradão localizado no município de Palmas/TO e os índices de vegetação EVI2, NDVI,  SAVI e RS  (0,49, 0,48, 0,48 e 0,51, respectivamente) obtidos a partir de dados do sensor LISS</w:t>
      </w:r>
      <w:r>
        <w:rPr>
          <w:rFonts w:eastAsia="MS Mincho" w:cs="MS Mincho" w:ascii="MS Mincho" w:hAnsi="MS Mincho"/>
        </w:rPr>
        <w:noBreakHyphen/>
      </w:r>
      <w:r>
        <w:rPr/>
        <w:t>III do satélite ResourceSat1. Segundo os autores, apesar da não ocorrência de altas correlações, a rede neural artificial apresentou bom desempenho para estimar volume de madeira, com baixo valor para erro-padrão residual e alto coeficiente de correlação entre os valores observados e estimados.</w:t>
      </w:r>
    </w:p>
    <w:p>
      <w:pPr>
        <w:pStyle w:val="Normal"/>
        <w:spacing w:lineRule="auto" w:line="360"/>
        <w:ind w:firstLine="567"/>
        <w:jc w:val="both"/>
        <w:rPr/>
      </w:pPr>
      <w:r>
        <w:rPr/>
        <w:t>As baixas correlações dos índices de vegetação podem estar relacionadas à aparência de um dossel em imagens de um sensor multiespectral orbital, pois tanto a região do visível quanto na do infravermelho próximo, a reflectância do dossel da vegetação exibe um caráter assintótico (não linear) em face do aumento contínuo do índice de área foliar - IAF (PONZONI, 2001). A reflectância do dossel na região do visível diminui quase exponencialmente com aumento do IAF até atingir valor próximo de zero (quando o IAF assume valores entre 2 e 3). Já na região do infravermelho próximo, a reflectância aumenta quase exponencialmente com aumento do IAF até que seja atingido seu ponto de saturação (quando o IAF assume valores entre 6 e 8).</w:t>
      </w:r>
    </w:p>
    <w:p>
      <w:pPr>
        <w:pStyle w:val="Normal"/>
        <w:spacing w:lineRule="auto" w:line="360"/>
        <w:ind w:firstLine="567"/>
        <w:jc w:val="both"/>
        <w:rPr/>
      </w:pPr>
      <w:r>
        <w:rPr/>
        <w:t xml:space="preserve">As maiores correlações encontradas foram com as bandas G e R e índices relacionados ao teor de clorofila foliar (GNDVI e NDRE), indicando que o volume com casca por parcela tende a estar mais correlacionado com bandas e índices que são mais sensíveis ao teor de clorofila foliar para este estudo. Berra (2013) correlacionou volume de madeira de um povoamento jovem de </w:t>
      </w:r>
      <w:r>
        <w:rPr>
          <w:i/>
        </w:rPr>
        <w:t>Pinus elliottii</w:t>
      </w:r>
      <w:r>
        <w:rPr/>
        <w:t>, com as bandas espectrais dos sensores LIS-III/ResourceSat1 (resolução espacial de 23,5 m) e TM/Landsat 5, localizado no litoral sudeste do Rio Grande do Sul, encontrou correlações significativas para todas as bandas, sendo que a maior correlação para o sensor LISS-III foi a banda G (0,721) e para o sensor TM foi a banda NIR (0,711), corroborando com o resultado deste estudo.</w:t>
      </w:r>
    </w:p>
    <w:p>
      <w:pPr>
        <w:pStyle w:val="Normal"/>
        <w:spacing w:lineRule="auto" w:line="360"/>
        <w:ind w:firstLine="567"/>
        <w:jc w:val="both"/>
        <w:rPr/>
      </w:pPr>
      <w:r>
        <w:rPr/>
        <w:t>A melhor resolução espacial, radiométrica e espectral do satélite RapidEye (data de aquisição 20/06/2011) em comparação com o satélite Landsat 5 / TM (data de aquisição 22/05/2011), melhorou as correlações entre as variáveis espectrais com o volume com casca por parcela observado, principalmente para a banda do NIR e para os índices de vegetação. Resultados semelhantes foram encontrados por Berra (2013).</w:t>
      </w:r>
    </w:p>
    <w:p>
      <w:pPr>
        <w:pStyle w:val="Normal"/>
        <w:spacing w:lineRule="auto" w:line="360"/>
        <w:ind w:firstLine="708"/>
        <w:jc w:val="both"/>
        <w:rPr/>
      </w:pPr>
      <w:r>
        <w:rPr/>
        <w:t>No gráfico de caixa da Figura 1 se tem uma visualização da distribuição dos valores de níveis de cinza das bandas G, R e NIR do satélite Landsat 5 / TM para as datas de aquisição 08/01/2009, 30/04/2009 e 03/07/2009. Ao se analisar os valores de níveis de cinza do dossel da teca nas datas de aquisição das imagens, verifica-se que os mesmos tendem a apresentar o comportamento espectral característico das florestas, com valores baixos na região do visível (bandas G e R) e altos na região do infravermelho próximo (NIR).</w:t>
      </w:r>
    </w:p>
    <w:p>
      <w:pPr>
        <w:pStyle w:val="Normal"/>
        <w:spacing w:lineRule="auto" w:line="360"/>
        <w:ind w:firstLine="708"/>
        <w:jc w:val="both"/>
        <w:rPr>
          <w:color w:val="FF0000"/>
        </w:rPr>
      </w:pPr>
      <w:r>
        <w:rPr/>
        <w:t>Nas datas 08/01/2009 e 30/04/2009, os valores de mediana para as bandas G e R são similares, já para a data 03/07/2009, os valores de mediana e demais parâmetros descritivos são mais altos. Para a data 03/07/2009, a mediana da banda R é mais alta que a banda G. Observa-se também que os valores de mediana para a banda NIR tendem a diminuir à medida que se aumenta as datas de aquisição das imagens. Demonstrando que existe algum fator variando temporalmente que pode estar influenciando os valores de níveis de cinza nas datas de aquisição das imagens.</w:t>
      </w:r>
      <w:r>
        <w:rPr>
          <w:color w:val="FF0000"/>
        </w:rPr>
        <w:t xml:space="preserve"> </w:t>
      </w:r>
    </w:p>
    <w:p>
      <w:pPr>
        <w:pStyle w:val="Normal"/>
        <w:spacing w:lineRule="auto" w:line="360"/>
        <w:ind w:firstLine="708"/>
        <w:jc w:val="both"/>
        <w:rPr/>
      </w:pPr>
      <w:r>
        <w:rPr/>
        <w:t>Estes resultados podem estar relacionados às folhas da teca caírem durante a estação seca (com diminuição do IAF), entre os meses maio e setembro para a região de Cáceres/MT, e o solo fica coberto por espesso folhedo. Segundo Ponzoni (2001), em geral, dosséis com grandes quantidades de folhas verdes (com maior IAF) refletem muito mais na região do infravermelho próximo (devido ao espalhamento interno sofrido pela radiação em função da disposição da estrutura morfológica da folha e ao espalhamento múltiplo entre as diferentes camadas das folhas), mas refletem muito pouco no vermelho (devido à ação dos pigmentos presentes nas folhas, que absorvem a radiação para realização da fotossíntese, e das sombras que se projetam entres as folhas). Entretanto, com a diminuição dos valores de IAF, o efeito da reflectância do solo aumenta, tendendo a tornar a reflectância do dossel cada vez mais semelhante à reflectância do solo (em geral, a reflectância do solo aumenta com o aumento do comprimento de onda, principalmente nas regiões do visível e do infravermelho próximo).</w:t>
      </w:r>
    </w:p>
    <w:p>
      <w:pPr>
        <w:pStyle w:val="Normal"/>
        <w:spacing w:lineRule="auto" w:line="360"/>
        <w:ind w:firstLine="708"/>
        <w:jc w:val="both"/>
        <w:rPr/>
      </w:pPr>
      <w:r>
        <w:rPr/>
      </w:r>
    </w:p>
    <w:p>
      <w:pPr>
        <w:pStyle w:val="Normal"/>
        <w:spacing w:lineRule="auto" w:line="360"/>
        <w:jc w:val="both"/>
        <w:rPr/>
      </w:pPr>
      <w:r>
        <w:rPr/>
        <w:drawing>
          <wp:inline distT="0" distB="0" distL="0" distR="0">
            <wp:extent cx="5681345" cy="4221480"/>
            <wp:effectExtent l="0" t="0" r="0" b="0"/>
            <wp:docPr id="2"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5" descr=""/>
                    <pic:cNvPicPr>
                      <a:picLocks noChangeAspect="1" noChangeArrowheads="1"/>
                    </pic:cNvPicPr>
                  </pic:nvPicPr>
                  <pic:blipFill>
                    <a:blip r:embed="rId3"/>
                    <a:stretch>
                      <a:fillRect/>
                    </a:stretch>
                  </pic:blipFill>
                  <pic:spPr bwMode="auto">
                    <a:xfrm>
                      <a:off x="0" y="0"/>
                      <a:ext cx="5681345" cy="4221480"/>
                    </a:xfrm>
                    <a:prstGeom prst="rect">
                      <a:avLst/>
                    </a:prstGeom>
                  </pic:spPr>
                </pic:pic>
              </a:graphicData>
            </a:graphic>
          </wp:inline>
        </w:drawing>
      </w:r>
    </w:p>
    <w:p>
      <w:pPr>
        <w:pStyle w:val="Normal"/>
        <w:spacing w:lineRule="auto" w:line="360"/>
        <w:jc w:val="both"/>
        <w:rPr>
          <w:sz w:val="20"/>
          <w:szCs w:val="20"/>
        </w:rPr>
      </w:pPr>
      <w:r>
        <w:rPr>
          <w:sz w:val="20"/>
          <w:szCs w:val="20"/>
        </w:rPr>
        <w:t>Figura 1 – Gráfico de caixa da distribuição dos níveis de cinza das bandas G, R e NIR do satélite Landsat 5 / TM em três datas de aquisição de imagens.</w:t>
      </w:r>
    </w:p>
    <w:p>
      <w:pPr>
        <w:pStyle w:val="Normal"/>
        <w:spacing w:lineRule="auto" w:line="360"/>
        <w:ind w:firstLine="567"/>
        <w:jc w:val="both"/>
        <w:rPr/>
      </w:pPr>
      <w:r>
        <w:rPr/>
      </w:r>
    </w:p>
    <w:p>
      <w:pPr>
        <w:pStyle w:val="Normal"/>
        <w:spacing w:lineRule="auto" w:line="360"/>
        <w:ind w:firstLine="567"/>
        <w:jc w:val="both"/>
        <w:rPr/>
      </w:pPr>
      <w:r>
        <w:rPr/>
        <w:t>A descrição das RNA obtidas e as estatísticas obtidas durante o treinamento e a generalização estão apresentadas na Tabela 3.</w:t>
      </w:r>
    </w:p>
    <w:p>
      <w:pPr>
        <w:pStyle w:val="Normal"/>
        <w:spacing w:lineRule="auto" w:line="360"/>
        <w:ind w:firstLine="567"/>
        <w:jc w:val="both"/>
        <w:rPr/>
      </w:pPr>
      <w:r>
        <w:rPr/>
        <w:t xml:space="preserve">Os modelos ajustados pelas redes neurais apresentaram coeficiente de correlação variando entre 0,59 a 0,85, </w:t>
      </w:r>
      <w:r>
        <w:rPr>
          <w:color w:val="FF0000"/>
        </w:rPr>
        <w:t xml:space="preserve">coeficiente de determinação variando entre 0,35 a 0,70 </w:t>
      </w:r>
      <w:r>
        <w:rPr/>
        <w:t>e RQEM variando entre 25,51 a 39,69% (Tabela 4).</w:t>
      </w:r>
    </w:p>
    <w:p>
      <w:pPr>
        <w:pStyle w:val="Normal"/>
        <w:spacing w:lineRule="auto" w:line="360"/>
        <w:ind w:firstLine="567"/>
        <w:jc w:val="both"/>
        <w:rPr/>
      </w:pPr>
      <w:r>
        <w:rPr/>
        <w:t>Alves et al. (2013) encontraram relação entre as informações provenientes do Plano de Manejo Florestal de Alto Molise, uma área na Itália, com os valores das estimativas de volume por parcela obtidos com o algoritmo K-Nearest Neighbor e dados do sensor HGRs do satélite SPOT 5 (4 bandas espectrais e NDVI), com coeficiente de correlação de 0,63 e RQEM de 27,81%. Segundo os autores, a correlação não muito alta pode ser explicada pela diferença temporal existente entre a imagem e os dados do inventário florestal, como também pelas atividades de exploração e gestão dessas áreas florestais.</w:t>
      </w:r>
    </w:p>
    <w:p>
      <w:pPr>
        <w:pStyle w:val="Normal"/>
        <w:spacing w:lineRule="auto" w:line="360"/>
        <w:ind w:firstLine="567"/>
        <w:jc w:val="both"/>
        <w:rPr>
          <w:color w:val="FF0000"/>
        </w:rPr>
      </w:pPr>
      <w:r>
        <w:rPr>
          <w:color w:val="FF0000"/>
        </w:rPr>
        <w:t xml:space="preserve">Observa-se que os valores de RQEM foram superiores àqueles encontrados pelo método de inventário florestal tradicional. Indicando que os modelos não se mostraram eficientes para estimar volume a partir de dados espectrais e redes neurais artificiais. Entretanto, os dados espectrais permitem estimativas do volume em 100% da área e de forma não destrutiva. </w:t>
      </w:r>
    </w:p>
    <w:p>
      <w:pPr>
        <w:pStyle w:val="Normal"/>
        <w:spacing w:lineRule="auto" w:line="360"/>
        <w:ind w:firstLine="567"/>
        <w:jc w:val="both"/>
        <w:rPr/>
      </w:pPr>
      <w:r>
        <w:rPr/>
        <w:t>Miguel et al. (2015) utilizando redes neurais artificiais para estimar o volume de madeira por parcela de um fragmento de cerradão, tendo como entrada índices de vegetação (EVI2, NDVI, SAVI e RS) do satélite ResourceSat1, sensor LISS-III,  e área basal, encontraram baixo valor para o erro-padrão residual (4,93%) e alto coeficiente de correlação entre os valores observados e estimados pela rede (0,99). Segundo os autores, a superioridade destas estatísticas pode estar relacionada à influência da variável área basal no modelo, à intensidade amostral (18% da área foi amostrada), à resolução espacial e espectral do sensor LISS</w:t>
      </w:r>
      <w:r>
        <w:rPr>
          <w:rFonts w:eastAsia="MS Mincho" w:cs="MS Mincho" w:ascii="MS Mincho" w:hAnsi="MS Mincho"/>
        </w:rPr>
        <w:noBreakHyphen/>
      </w:r>
      <w:r>
        <w:rPr/>
        <w:t>III e às características da vegetação estudada.</w:t>
      </w:r>
    </w:p>
    <w:p>
      <w:pPr>
        <w:pStyle w:val="Normal"/>
        <w:spacing w:lineRule="auto" w:line="360"/>
        <w:ind w:firstLine="567"/>
        <w:jc w:val="both"/>
        <w:rPr/>
      </w:pPr>
      <w:r>
        <w:rPr/>
        <w:t xml:space="preserve">Verificou-se que a melhor resolução do satélite RapidEye não forneceu resultado melhor para estimativa do volume por parcela. </w:t>
      </w:r>
    </w:p>
    <w:p>
      <w:pPr>
        <w:pStyle w:val="Normal"/>
        <w:spacing w:lineRule="auto" w:line="360"/>
        <w:ind w:firstLine="567"/>
        <w:jc w:val="both"/>
        <w:rPr/>
      </w:pPr>
      <w:r>
        <w:rPr/>
        <w:t>Berra (2013) concluiu em seu trabalho que os sensores LISS-III/ResourceSat1 e TM/Landsat 5 (com diferentes resoluções) apresentaram alta similaridade para estimar o volume por parcela de um povoamento jovem de Pinus através de modelos de regressão com o método de seleção de variáveis Stepwise. Utilizando como variáveis independentes somente as bandas, para o sensor LISS-III o modelo que apresentou melhor coeficiente de determinação ajustado e o menor erro padrão da estimativa (R</w:t>
      </w:r>
      <w:r>
        <w:rPr>
          <w:vertAlign w:val="superscript"/>
        </w:rPr>
        <w:t>2</w:t>
      </w:r>
      <w:r>
        <w:rPr/>
        <w:t xml:space="preserve"> = 0,72 e Sxy = 24,60 m</w:t>
      </w:r>
      <w:r>
        <w:rPr>
          <w:vertAlign w:val="superscript"/>
        </w:rPr>
        <w:t>3</w:t>
      </w:r>
      <w:r>
        <w:rPr/>
        <w:t>/ha, respectivamente) foi o que utilizou as bandas G e NIR, já para o sensor TM o modelo que apresentou ajuste foi o que utilizou as bandas G, NIR e infravermelho médio (R</w:t>
      </w:r>
      <w:r>
        <w:rPr>
          <w:vertAlign w:val="superscript"/>
        </w:rPr>
        <w:t>2</w:t>
      </w:r>
      <w:r>
        <w:rPr/>
        <w:t xml:space="preserve"> = 0,70 e Sxy = 25,24 m</w:t>
      </w:r>
      <w:r>
        <w:rPr>
          <w:vertAlign w:val="superscript"/>
        </w:rPr>
        <w:t>3</w:t>
      </w:r>
      <w:r>
        <w:rPr/>
        <w:t>/ha). Utilizando como variáveis independentes somente os índices de vegetação, para o sensor LISS-III o modelo que apresentou melhor ajuste foi o que utilizou o índice GNDVI (R</w:t>
      </w:r>
      <w:r>
        <w:rPr>
          <w:vertAlign w:val="superscript"/>
        </w:rPr>
        <w:t>2</w:t>
      </w:r>
      <w:r>
        <w:rPr/>
        <w:t xml:space="preserve"> = 0,70 e Sxy = 25,35 m</w:t>
      </w:r>
      <w:r>
        <w:rPr>
          <w:vertAlign w:val="superscript"/>
        </w:rPr>
        <w:t>3</w:t>
      </w:r>
      <w:r>
        <w:rPr/>
        <w:t>/ha), já para o sensor TM o modelo que apresentou ajuste foi o que utilizou o índice MVI (R</w:t>
      </w:r>
      <w:r>
        <w:rPr>
          <w:vertAlign w:val="superscript"/>
        </w:rPr>
        <w:t>2</w:t>
      </w:r>
      <w:r>
        <w:rPr/>
        <w:t xml:space="preserve"> = 0,68 e Sxy = 27,88 m</w:t>
      </w:r>
      <w:r>
        <w:rPr>
          <w:vertAlign w:val="superscript"/>
        </w:rPr>
        <w:t>3</w:t>
      </w:r>
      <w:r>
        <w:rPr/>
        <w:t>/ha).</w:t>
      </w:r>
    </w:p>
    <w:p>
      <w:pPr>
        <w:pStyle w:val="Normal"/>
        <w:spacing w:lineRule="auto" w:line="360"/>
        <w:ind w:firstLine="567"/>
        <w:jc w:val="both"/>
        <w:rPr/>
      </w:pPr>
      <w:r>
        <w:rPr/>
      </w:r>
    </w:p>
    <w:p>
      <w:pPr>
        <w:pStyle w:val="Normal"/>
        <w:spacing w:lineRule="auto" w:line="360"/>
        <w:ind w:firstLine="567"/>
        <w:jc w:val="both"/>
        <w:rPr/>
      </w:pPr>
      <w:r>
        <w:rPr/>
      </w:r>
    </w:p>
    <w:p>
      <w:pPr>
        <w:pStyle w:val="Normal"/>
        <w:spacing w:lineRule="auto" w:line="360"/>
        <w:ind w:firstLine="567"/>
        <w:jc w:val="both"/>
        <w:rPr/>
      </w:pPr>
      <w:r>
        <w:rPr/>
      </w:r>
    </w:p>
    <w:p>
      <w:pPr>
        <w:pStyle w:val="Normal"/>
        <w:spacing w:lineRule="auto" w:line="360"/>
        <w:ind w:firstLine="567"/>
        <w:jc w:val="both"/>
        <w:rPr/>
      </w:pPr>
      <w:r>
        <w:rPr/>
      </w:r>
    </w:p>
    <w:p>
      <w:pPr>
        <w:pStyle w:val="Normal"/>
        <w:spacing w:lineRule="auto" w:line="360"/>
        <w:jc w:val="both"/>
        <w:rPr>
          <w:sz w:val="20"/>
          <w:szCs w:val="20"/>
        </w:rPr>
      </w:pPr>
      <w:r>
        <w:rPr>
          <w:sz w:val="20"/>
          <w:szCs w:val="20"/>
        </w:rPr>
        <w:t>Tabela 3 - Características das redes neurais artificiais (RNA) selecionadas e estatísticas das estimativas do volume com casca por parcela</w:t>
      </w:r>
    </w:p>
    <w:tbl>
      <w:tblPr>
        <w:tblW w:w="5000" w:type="pct"/>
        <w:jc w:val="left"/>
        <w:tblInd w:w="0" w:type="dxa"/>
        <w:tblCellMar>
          <w:top w:w="0" w:type="dxa"/>
          <w:left w:w="108" w:type="dxa"/>
          <w:bottom w:w="0" w:type="dxa"/>
          <w:right w:w="108" w:type="dxa"/>
        </w:tblCellMar>
        <w:tblLook w:firstRow="1" w:noVBand="1" w:lastRow="0" w:firstColumn="1" w:lastColumn="0" w:noHBand="0" w:val="04a0"/>
      </w:tblPr>
      <w:tblGrid>
        <w:gridCol w:w="1387"/>
        <w:gridCol w:w="1474"/>
        <w:gridCol w:w="1119"/>
        <w:gridCol w:w="1393"/>
        <w:gridCol w:w="1209"/>
        <w:gridCol w:w="1380"/>
        <w:gridCol w:w="1107"/>
      </w:tblGrid>
      <w:tr>
        <w:trPr/>
        <w:tc>
          <w:tcPr>
            <w:tcW w:w="1387" w:type="dxa"/>
            <w:tcBorders>
              <w:top w:val="single" w:sz="4" w:space="0" w:color="000000"/>
            </w:tcBorders>
            <w:shd w:color="auto" w:fill="auto" w:val="clear"/>
            <w:vAlign w:val="center"/>
          </w:tcPr>
          <w:p>
            <w:pPr>
              <w:pStyle w:val="Normal"/>
              <w:ind w:right="-2" w:hanging="0"/>
              <w:jc w:val="center"/>
              <w:rPr>
                <w:b/>
                <w:b/>
                <w:sz w:val="20"/>
                <w:szCs w:val="20"/>
              </w:rPr>
            </w:pPr>
            <w:r>
              <w:rPr>
                <w:b/>
                <w:sz w:val="20"/>
                <w:szCs w:val="20"/>
              </w:rPr>
            </w:r>
          </w:p>
        </w:tc>
        <w:tc>
          <w:tcPr>
            <w:tcW w:w="1474" w:type="dxa"/>
            <w:tcBorders>
              <w:top w:val="single" w:sz="4" w:space="0" w:color="000000"/>
            </w:tcBorders>
            <w:shd w:color="auto" w:fill="auto" w:val="clear"/>
            <w:vAlign w:val="center"/>
          </w:tcPr>
          <w:p>
            <w:pPr>
              <w:pStyle w:val="Normal"/>
              <w:ind w:right="-2" w:hanging="0"/>
              <w:jc w:val="center"/>
              <w:rPr>
                <w:b/>
                <w:b/>
                <w:sz w:val="20"/>
                <w:szCs w:val="20"/>
              </w:rPr>
            </w:pPr>
            <w:r>
              <w:rPr>
                <w:b/>
                <w:sz w:val="20"/>
                <w:szCs w:val="20"/>
              </w:rPr>
            </w:r>
          </w:p>
        </w:tc>
        <w:tc>
          <w:tcPr>
            <w:tcW w:w="1119" w:type="dxa"/>
            <w:tcBorders>
              <w:top w:val="single" w:sz="4" w:space="0" w:color="000000"/>
            </w:tcBorders>
            <w:shd w:color="auto" w:fill="auto" w:val="clear"/>
            <w:vAlign w:val="center"/>
          </w:tcPr>
          <w:p>
            <w:pPr>
              <w:pStyle w:val="Normal"/>
              <w:ind w:right="-2" w:hanging="0"/>
              <w:jc w:val="center"/>
              <w:rPr>
                <w:b/>
                <w:b/>
                <w:sz w:val="20"/>
                <w:szCs w:val="20"/>
              </w:rPr>
            </w:pPr>
            <w:r>
              <w:rPr>
                <w:b/>
                <w:sz w:val="20"/>
                <w:szCs w:val="20"/>
              </w:rPr>
            </w:r>
          </w:p>
        </w:tc>
        <w:tc>
          <w:tcPr>
            <w:tcW w:w="1393" w:type="dxa"/>
            <w:tcBorders>
              <w:top w:val="single" w:sz="4" w:space="0" w:color="000000"/>
            </w:tcBorders>
            <w:shd w:color="auto" w:fill="auto" w:val="clear"/>
            <w:vAlign w:val="center"/>
          </w:tcPr>
          <w:p>
            <w:pPr>
              <w:pStyle w:val="Normal"/>
              <w:jc w:val="center"/>
              <w:rPr>
                <w:b/>
                <w:b/>
                <w:sz w:val="20"/>
                <w:szCs w:val="20"/>
              </w:rPr>
            </w:pPr>
            <w:r>
              <w:rPr>
                <w:b/>
                <w:sz w:val="20"/>
                <w:szCs w:val="20"/>
              </w:rPr>
            </w:r>
          </w:p>
        </w:tc>
        <w:tc>
          <w:tcPr>
            <w:tcW w:w="3696" w:type="dxa"/>
            <w:gridSpan w:val="3"/>
            <w:tcBorders>
              <w:top w:val="single" w:sz="4" w:space="0" w:color="000000"/>
              <w:bottom w:val="single" w:sz="4" w:space="0" w:color="000000"/>
            </w:tcBorders>
            <w:shd w:color="auto" w:fill="auto" w:val="clear"/>
            <w:vAlign w:val="center"/>
          </w:tcPr>
          <w:p>
            <w:pPr>
              <w:pStyle w:val="Normal"/>
              <w:ind w:right="-2" w:hanging="0"/>
              <w:jc w:val="center"/>
              <w:rPr>
                <w:b/>
                <w:b/>
                <w:sz w:val="20"/>
                <w:szCs w:val="20"/>
              </w:rPr>
            </w:pPr>
            <w:r>
              <w:rPr>
                <w:b/>
                <w:sz w:val="20"/>
                <w:szCs w:val="20"/>
              </w:rPr>
              <w:t>Treinamento</w:t>
            </w:r>
          </w:p>
        </w:tc>
      </w:tr>
      <w:tr>
        <w:trPr/>
        <w:tc>
          <w:tcPr>
            <w:tcW w:w="1387" w:type="dxa"/>
            <w:tcBorders>
              <w:bottom w:val="single" w:sz="4" w:space="0" w:color="000000"/>
            </w:tcBorders>
            <w:shd w:color="auto" w:fill="auto" w:val="clear"/>
            <w:vAlign w:val="center"/>
          </w:tcPr>
          <w:p>
            <w:pPr>
              <w:pStyle w:val="Normal"/>
              <w:ind w:right="-2" w:hanging="0"/>
              <w:jc w:val="center"/>
              <w:rPr>
                <w:b/>
                <w:b/>
                <w:sz w:val="20"/>
                <w:szCs w:val="20"/>
              </w:rPr>
            </w:pPr>
            <w:r>
              <w:rPr>
                <w:b/>
                <w:sz w:val="20"/>
                <w:szCs w:val="20"/>
              </w:rPr>
              <w:t>Satélite</w:t>
            </w:r>
          </w:p>
          <w:p>
            <w:pPr>
              <w:pStyle w:val="Normal"/>
              <w:ind w:right="-2" w:hanging="0"/>
              <w:jc w:val="center"/>
              <w:rPr>
                <w:b/>
                <w:b/>
                <w:sz w:val="20"/>
                <w:szCs w:val="20"/>
              </w:rPr>
            </w:pPr>
            <w:r>
              <w:rPr>
                <w:b/>
                <w:sz w:val="20"/>
                <w:szCs w:val="20"/>
              </w:rPr>
              <w:t>Data</w:t>
            </w:r>
          </w:p>
        </w:tc>
        <w:tc>
          <w:tcPr>
            <w:tcW w:w="1474" w:type="dxa"/>
            <w:tcBorders>
              <w:bottom w:val="single" w:sz="4" w:space="0" w:color="000000"/>
            </w:tcBorders>
            <w:shd w:color="auto" w:fill="auto" w:val="clear"/>
            <w:vAlign w:val="center"/>
          </w:tcPr>
          <w:p>
            <w:pPr>
              <w:pStyle w:val="Normal"/>
              <w:ind w:right="-2" w:hanging="0"/>
              <w:jc w:val="center"/>
              <w:rPr>
                <w:b/>
                <w:b/>
                <w:sz w:val="20"/>
                <w:szCs w:val="20"/>
              </w:rPr>
            </w:pPr>
            <w:r>
              <w:rPr>
                <w:b/>
                <w:sz w:val="20"/>
                <w:szCs w:val="20"/>
              </w:rPr>
              <w:t>Tipo e</w:t>
            </w:r>
          </w:p>
          <w:p>
            <w:pPr>
              <w:pStyle w:val="Normal"/>
              <w:ind w:right="-2" w:hanging="0"/>
              <w:jc w:val="center"/>
              <w:rPr>
                <w:b/>
                <w:b/>
                <w:sz w:val="20"/>
                <w:szCs w:val="20"/>
              </w:rPr>
            </w:pPr>
            <w:r>
              <w:rPr>
                <w:b/>
                <w:sz w:val="20"/>
                <w:szCs w:val="20"/>
              </w:rPr>
              <w:t>Arquitetura*</w:t>
            </w:r>
          </w:p>
        </w:tc>
        <w:tc>
          <w:tcPr>
            <w:tcW w:w="1119" w:type="dxa"/>
            <w:tcBorders>
              <w:bottom w:val="single" w:sz="4" w:space="0" w:color="000000"/>
            </w:tcBorders>
            <w:shd w:color="auto" w:fill="auto" w:val="clear"/>
            <w:vAlign w:val="center"/>
          </w:tcPr>
          <w:p>
            <w:pPr>
              <w:pStyle w:val="Normal"/>
              <w:ind w:right="-2" w:hanging="0"/>
              <w:jc w:val="center"/>
              <w:rPr>
                <w:b/>
                <w:b/>
                <w:sz w:val="20"/>
                <w:szCs w:val="20"/>
              </w:rPr>
            </w:pPr>
            <w:r>
              <w:rPr>
                <w:b/>
                <w:sz w:val="20"/>
                <w:szCs w:val="20"/>
              </w:rPr>
              <w:t>Variáveis de entrada</w:t>
            </w:r>
          </w:p>
        </w:tc>
        <w:tc>
          <w:tcPr>
            <w:tcW w:w="1393" w:type="dxa"/>
            <w:tcBorders>
              <w:bottom w:val="single" w:sz="4" w:space="0" w:color="000000"/>
            </w:tcBorders>
            <w:shd w:color="auto" w:fill="auto" w:val="clear"/>
            <w:vAlign w:val="center"/>
          </w:tcPr>
          <w:p>
            <w:pPr>
              <w:pStyle w:val="Normal"/>
              <w:jc w:val="center"/>
              <w:rPr>
                <w:b/>
                <w:b/>
                <w:sz w:val="20"/>
                <w:szCs w:val="20"/>
              </w:rPr>
            </w:pPr>
            <w:r>
              <w:rPr>
                <w:b/>
                <w:sz w:val="20"/>
                <w:szCs w:val="20"/>
              </w:rPr>
              <w:t>Algoritmo de treinamento</w:t>
            </w:r>
          </w:p>
        </w:tc>
        <w:tc>
          <w:tcPr>
            <w:tcW w:w="1209" w:type="dxa"/>
            <w:tcBorders>
              <w:top w:val="single" w:sz="4" w:space="0" w:color="000000"/>
              <w:bottom w:val="single" w:sz="4" w:space="0" w:color="000000"/>
            </w:tcBorders>
            <w:shd w:color="auto" w:fill="auto" w:val="clear"/>
            <w:vAlign w:val="center"/>
          </w:tcPr>
          <w:p>
            <w:pPr>
              <w:pStyle w:val="Normal"/>
              <w:ind w:right="-2" w:hanging="0"/>
              <w:jc w:val="center"/>
              <w:rPr>
                <w:b/>
                <w:b/>
                <w:sz w:val="20"/>
                <w:szCs w:val="20"/>
              </w:rPr>
            </w:pPr>
            <w:r>
              <w:rPr>
                <w:b/>
                <w:sz w:val="20"/>
                <w:szCs w:val="20"/>
              </w:rPr>
              <w:t>Índice do treino</w:t>
            </w:r>
          </w:p>
        </w:tc>
        <w:tc>
          <w:tcPr>
            <w:tcW w:w="1380" w:type="dxa"/>
            <w:tcBorders>
              <w:top w:val="single" w:sz="4" w:space="0" w:color="000000"/>
              <w:bottom w:val="single" w:sz="4" w:space="0" w:color="000000"/>
            </w:tcBorders>
            <w:shd w:color="auto" w:fill="auto" w:val="clear"/>
            <w:vAlign w:val="center"/>
          </w:tcPr>
          <w:p>
            <w:pPr>
              <w:pStyle w:val="Normal"/>
              <w:ind w:right="-2" w:hanging="0"/>
              <w:jc w:val="center"/>
              <w:rPr>
                <w:b/>
                <w:b/>
                <w:sz w:val="20"/>
                <w:szCs w:val="20"/>
              </w:rPr>
            </w:pPr>
            <w:r>
              <w:rPr>
                <w:b/>
                <w:sz w:val="20"/>
                <w:szCs w:val="20"/>
              </w:rPr>
              <w:t>Índice da seleção</w:t>
            </w:r>
          </w:p>
        </w:tc>
        <w:tc>
          <w:tcPr>
            <w:tcW w:w="1107" w:type="dxa"/>
            <w:tcBorders>
              <w:top w:val="single" w:sz="4" w:space="0" w:color="000000"/>
              <w:bottom w:val="single" w:sz="4" w:space="0" w:color="000000"/>
            </w:tcBorders>
            <w:shd w:color="auto" w:fill="auto" w:val="clear"/>
            <w:vAlign w:val="center"/>
          </w:tcPr>
          <w:p>
            <w:pPr>
              <w:pStyle w:val="Normal"/>
              <w:ind w:right="-2" w:hanging="0"/>
              <w:jc w:val="center"/>
              <w:rPr>
                <w:b/>
                <w:b/>
                <w:sz w:val="20"/>
                <w:szCs w:val="20"/>
              </w:rPr>
            </w:pPr>
            <w:r>
              <w:rPr>
                <w:b/>
                <w:sz w:val="20"/>
                <w:szCs w:val="20"/>
              </w:rPr>
              <w:t>Índice da avaliação</w:t>
            </w:r>
          </w:p>
        </w:tc>
      </w:tr>
      <w:tr>
        <w:trPr/>
        <w:tc>
          <w:tcPr>
            <w:tcW w:w="1387" w:type="dxa"/>
            <w:tcBorders>
              <w:bottom w:val="single" w:sz="4" w:space="0" w:color="000000"/>
            </w:tcBorders>
            <w:shd w:color="auto" w:fill="auto" w:val="clear"/>
            <w:vAlign w:val="center"/>
          </w:tcPr>
          <w:p>
            <w:pPr>
              <w:pStyle w:val="Normal"/>
              <w:jc w:val="center"/>
              <w:rPr>
                <w:sz w:val="20"/>
                <w:szCs w:val="20"/>
              </w:rPr>
            </w:pPr>
            <w:r>
              <w:rPr>
                <w:sz w:val="20"/>
                <w:szCs w:val="20"/>
              </w:rPr>
              <w:t>Landsat 5/TM</w:t>
            </w:r>
          </w:p>
          <w:p>
            <w:pPr>
              <w:pStyle w:val="Normal"/>
              <w:ind w:right="-2" w:hanging="0"/>
              <w:jc w:val="center"/>
              <w:rPr>
                <w:b/>
                <w:b/>
                <w:sz w:val="20"/>
                <w:szCs w:val="20"/>
              </w:rPr>
            </w:pPr>
            <w:r>
              <w:rPr>
                <w:sz w:val="20"/>
                <w:szCs w:val="20"/>
              </w:rPr>
              <w:t>08/01/2009</w:t>
            </w:r>
          </w:p>
        </w:tc>
        <w:tc>
          <w:tcPr>
            <w:tcW w:w="1474" w:type="dxa"/>
            <w:tcBorders>
              <w:bottom w:val="single" w:sz="4" w:space="0" w:color="000000"/>
            </w:tcBorders>
            <w:shd w:color="auto" w:fill="auto" w:val="clear"/>
            <w:vAlign w:val="center"/>
          </w:tcPr>
          <w:p>
            <w:pPr>
              <w:pStyle w:val="Normal"/>
              <w:ind w:right="-2" w:hanging="0"/>
              <w:jc w:val="center"/>
              <w:rPr>
                <w:sz w:val="20"/>
                <w:szCs w:val="20"/>
              </w:rPr>
            </w:pPr>
            <w:r>
              <w:rPr>
                <w:sz w:val="20"/>
                <w:szCs w:val="20"/>
              </w:rPr>
              <w:t>MLP</w:t>
            </w:r>
          </w:p>
          <w:p>
            <w:pPr>
              <w:pStyle w:val="Normal"/>
              <w:ind w:right="-2" w:hanging="0"/>
              <w:jc w:val="center"/>
              <w:rPr>
                <w:b/>
                <w:b/>
                <w:sz w:val="20"/>
                <w:szCs w:val="20"/>
              </w:rPr>
            </w:pPr>
            <w:r>
              <w:rPr>
                <w:sz w:val="20"/>
                <w:szCs w:val="20"/>
              </w:rPr>
              <w:t>5-11-8-1</w:t>
            </w:r>
          </w:p>
        </w:tc>
        <w:tc>
          <w:tcPr>
            <w:tcW w:w="1119" w:type="dxa"/>
            <w:tcBorders>
              <w:bottom w:val="single" w:sz="4" w:space="0" w:color="000000"/>
            </w:tcBorders>
            <w:shd w:color="auto" w:fill="auto" w:val="clear"/>
            <w:vAlign w:val="center"/>
          </w:tcPr>
          <w:p>
            <w:pPr>
              <w:pStyle w:val="Normal"/>
              <w:ind w:right="-2" w:hanging="0"/>
              <w:jc w:val="center"/>
              <w:rPr>
                <w:sz w:val="20"/>
                <w:szCs w:val="20"/>
              </w:rPr>
            </w:pPr>
            <w:r>
              <w:rPr>
                <w:sz w:val="20"/>
                <w:szCs w:val="20"/>
              </w:rPr>
              <w:t>R, NIR, OSAVI, GNDVI e MTVI2</w:t>
            </w:r>
          </w:p>
        </w:tc>
        <w:tc>
          <w:tcPr>
            <w:tcW w:w="1393" w:type="dxa"/>
            <w:tcBorders>
              <w:bottom w:val="single" w:sz="4" w:space="0" w:color="000000"/>
            </w:tcBorders>
            <w:shd w:color="auto" w:fill="auto" w:val="clear"/>
            <w:vAlign w:val="center"/>
          </w:tcPr>
          <w:p>
            <w:pPr>
              <w:pStyle w:val="Normal"/>
              <w:jc w:val="center"/>
              <w:rPr>
                <w:sz w:val="20"/>
                <w:szCs w:val="20"/>
              </w:rPr>
            </w:pPr>
            <w:r>
              <w:rPr>
                <w:sz w:val="20"/>
                <w:szCs w:val="20"/>
              </w:rPr>
              <w:t>BP100, CG20, CG32b</w:t>
            </w:r>
          </w:p>
        </w:tc>
        <w:tc>
          <w:tcPr>
            <w:tcW w:w="1209" w:type="dxa"/>
            <w:tcBorders>
              <w:top w:val="single" w:sz="4" w:space="0" w:color="000000"/>
              <w:bottom w:val="single" w:sz="4" w:space="0" w:color="000000"/>
            </w:tcBorders>
            <w:shd w:color="auto" w:fill="auto" w:val="clear"/>
            <w:vAlign w:val="center"/>
          </w:tcPr>
          <w:p>
            <w:pPr>
              <w:pStyle w:val="Normal"/>
              <w:spacing w:lineRule="auto" w:line="360"/>
              <w:ind w:right="-2" w:hanging="0"/>
              <w:jc w:val="center"/>
              <w:rPr>
                <w:sz w:val="20"/>
                <w:szCs w:val="20"/>
              </w:rPr>
            </w:pPr>
            <w:r>
              <w:rPr>
                <w:sz w:val="20"/>
                <w:szCs w:val="20"/>
              </w:rPr>
              <w:t>0,12483</w:t>
            </w:r>
          </w:p>
        </w:tc>
        <w:tc>
          <w:tcPr>
            <w:tcW w:w="1380" w:type="dxa"/>
            <w:tcBorders>
              <w:top w:val="single" w:sz="4" w:space="0" w:color="000000"/>
              <w:bottom w:val="single" w:sz="4" w:space="0" w:color="000000"/>
            </w:tcBorders>
            <w:shd w:color="auto" w:fill="auto" w:val="clear"/>
            <w:vAlign w:val="center"/>
          </w:tcPr>
          <w:p>
            <w:pPr>
              <w:pStyle w:val="Normal"/>
              <w:spacing w:lineRule="auto" w:line="360"/>
              <w:ind w:right="-2" w:hanging="0"/>
              <w:jc w:val="center"/>
              <w:rPr>
                <w:sz w:val="20"/>
                <w:szCs w:val="20"/>
              </w:rPr>
            </w:pPr>
            <w:r>
              <w:rPr>
                <w:sz w:val="20"/>
                <w:szCs w:val="20"/>
              </w:rPr>
              <w:t>0,11862</w:t>
            </w:r>
          </w:p>
        </w:tc>
        <w:tc>
          <w:tcPr>
            <w:tcW w:w="1107" w:type="dxa"/>
            <w:tcBorders>
              <w:top w:val="single" w:sz="4" w:space="0" w:color="000000"/>
              <w:bottom w:val="single" w:sz="4" w:space="0" w:color="000000"/>
            </w:tcBorders>
            <w:shd w:color="auto" w:fill="auto" w:val="clear"/>
            <w:vAlign w:val="center"/>
          </w:tcPr>
          <w:p>
            <w:pPr>
              <w:pStyle w:val="Normal"/>
              <w:spacing w:lineRule="auto" w:line="360"/>
              <w:ind w:right="-2" w:hanging="0"/>
              <w:jc w:val="center"/>
              <w:rPr>
                <w:sz w:val="20"/>
                <w:szCs w:val="20"/>
              </w:rPr>
            </w:pPr>
            <w:r>
              <w:rPr>
                <w:sz w:val="20"/>
                <w:szCs w:val="20"/>
              </w:rPr>
              <w:t>0,12605</w:t>
            </w:r>
          </w:p>
        </w:tc>
      </w:tr>
      <w:tr>
        <w:trPr>
          <w:trHeight w:val="283" w:hRule="atLeast"/>
        </w:trPr>
        <w:tc>
          <w:tcPr>
            <w:tcW w:w="1387" w:type="dxa"/>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Landsat 5/TM</w:t>
            </w:r>
          </w:p>
          <w:p>
            <w:pPr>
              <w:pStyle w:val="Normal"/>
              <w:spacing w:lineRule="auto" w:line="360"/>
              <w:ind w:right="-2" w:hanging="0"/>
              <w:jc w:val="center"/>
              <w:rPr>
                <w:sz w:val="20"/>
                <w:szCs w:val="20"/>
              </w:rPr>
            </w:pPr>
            <w:r>
              <w:rPr>
                <w:sz w:val="20"/>
                <w:szCs w:val="20"/>
              </w:rPr>
              <w:t>30/04/2009</w:t>
            </w:r>
          </w:p>
        </w:tc>
        <w:tc>
          <w:tcPr>
            <w:tcW w:w="1474" w:type="dxa"/>
            <w:tcBorders>
              <w:top w:val="single" w:sz="4" w:space="0" w:color="000000"/>
              <w:bottom w:val="single" w:sz="4" w:space="0" w:color="000000"/>
            </w:tcBorders>
            <w:shd w:color="auto" w:fill="auto" w:val="clear"/>
            <w:vAlign w:val="center"/>
          </w:tcPr>
          <w:p>
            <w:pPr>
              <w:pStyle w:val="Normal"/>
              <w:ind w:right="-2" w:hanging="0"/>
              <w:jc w:val="center"/>
              <w:rPr>
                <w:sz w:val="20"/>
                <w:szCs w:val="20"/>
              </w:rPr>
            </w:pPr>
            <w:r>
              <w:rPr>
                <w:sz w:val="20"/>
                <w:szCs w:val="20"/>
              </w:rPr>
              <w:t>MLP</w:t>
            </w:r>
          </w:p>
          <w:p>
            <w:pPr>
              <w:pStyle w:val="Normal"/>
              <w:ind w:right="-2" w:hanging="0"/>
              <w:jc w:val="center"/>
              <w:rPr>
                <w:sz w:val="20"/>
                <w:szCs w:val="20"/>
              </w:rPr>
            </w:pPr>
            <w:r>
              <w:rPr>
                <w:sz w:val="20"/>
                <w:szCs w:val="20"/>
              </w:rPr>
              <w:t>4-11-7-1</w:t>
            </w:r>
          </w:p>
        </w:tc>
        <w:tc>
          <w:tcPr>
            <w:tcW w:w="1119" w:type="dxa"/>
            <w:tcBorders>
              <w:top w:val="single" w:sz="4" w:space="0" w:color="000000"/>
              <w:bottom w:val="single" w:sz="4" w:space="0" w:color="000000"/>
            </w:tcBorders>
            <w:shd w:color="auto" w:fill="auto" w:val="clear"/>
            <w:vAlign w:val="center"/>
          </w:tcPr>
          <w:p>
            <w:pPr>
              <w:pStyle w:val="Normal"/>
              <w:ind w:right="-2" w:hanging="0"/>
              <w:jc w:val="center"/>
              <w:rPr>
                <w:sz w:val="20"/>
                <w:szCs w:val="20"/>
              </w:rPr>
            </w:pPr>
            <w:r>
              <w:rPr>
                <w:sz w:val="20"/>
                <w:szCs w:val="20"/>
              </w:rPr>
              <w:t>R, NIR, NDVI e MTVI2</w:t>
            </w:r>
          </w:p>
        </w:tc>
        <w:tc>
          <w:tcPr>
            <w:tcW w:w="1393" w:type="dxa"/>
            <w:tcBorders>
              <w:top w:val="single" w:sz="4" w:space="0" w:color="000000"/>
              <w:bottom w:val="single" w:sz="4" w:space="0" w:color="000000"/>
            </w:tcBorders>
            <w:shd w:color="auto" w:fill="auto" w:val="clear"/>
            <w:vAlign w:val="center"/>
          </w:tcPr>
          <w:p>
            <w:pPr>
              <w:pStyle w:val="Normal"/>
              <w:ind w:right="-2" w:hanging="0"/>
              <w:jc w:val="center"/>
              <w:rPr>
                <w:sz w:val="20"/>
                <w:szCs w:val="20"/>
              </w:rPr>
            </w:pPr>
            <w:r>
              <w:rPr>
                <w:sz w:val="20"/>
                <w:szCs w:val="20"/>
              </w:rPr>
              <w:t>BP100, CG20, CG123b</w:t>
            </w:r>
          </w:p>
        </w:tc>
        <w:tc>
          <w:tcPr>
            <w:tcW w:w="1209" w:type="dxa"/>
            <w:tcBorders>
              <w:top w:val="single" w:sz="4" w:space="0" w:color="000000"/>
              <w:bottom w:val="single" w:sz="4" w:space="0" w:color="000000"/>
            </w:tcBorders>
            <w:shd w:color="auto" w:fill="auto" w:val="clear"/>
            <w:vAlign w:val="center"/>
          </w:tcPr>
          <w:p>
            <w:pPr>
              <w:pStyle w:val="Normal"/>
              <w:spacing w:lineRule="auto" w:line="360"/>
              <w:ind w:right="-2" w:hanging="0"/>
              <w:jc w:val="center"/>
              <w:rPr>
                <w:sz w:val="20"/>
                <w:szCs w:val="20"/>
              </w:rPr>
            </w:pPr>
            <w:r>
              <w:rPr>
                <w:sz w:val="20"/>
                <w:szCs w:val="20"/>
              </w:rPr>
              <w:t>0,128946</w:t>
            </w:r>
          </w:p>
        </w:tc>
        <w:tc>
          <w:tcPr>
            <w:tcW w:w="1380" w:type="dxa"/>
            <w:tcBorders>
              <w:top w:val="single" w:sz="4" w:space="0" w:color="000000"/>
              <w:bottom w:val="single" w:sz="4" w:space="0" w:color="000000"/>
            </w:tcBorders>
            <w:shd w:color="auto" w:fill="auto" w:val="clear"/>
            <w:vAlign w:val="center"/>
          </w:tcPr>
          <w:p>
            <w:pPr>
              <w:pStyle w:val="Normal"/>
              <w:spacing w:lineRule="auto" w:line="360"/>
              <w:ind w:right="-2" w:hanging="0"/>
              <w:jc w:val="center"/>
              <w:rPr>
                <w:sz w:val="20"/>
                <w:szCs w:val="20"/>
              </w:rPr>
            </w:pPr>
            <w:r>
              <w:rPr>
                <w:sz w:val="20"/>
                <w:szCs w:val="20"/>
              </w:rPr>
              <w:t>0,135065</w:t>
            </w:r>
          </w:p>
        </w:tc>
        <w:tc>
          <w:tcPr>
            <w:tcW w:w="1107" w:type="dxa"/>
            <w:tcBorders>
              <w:top w:val="single" w:sz="4" w:space="0" w:color="000000"/>
              <w:bottom w:val="single" w:sz="4" w:space="0" w:color="000000"/>
            </w:tcBorders>
            <w:shd w:color="auto" w:fill="auto" w:val="clear"/>
            <w:vAlign w:val="center"/>
          </w:tcPr>
          <w:p>
            <w:pPr>
              <w:pStyle w:val="Normal"/>
              <w:spacing w:lineRule="auto" w:line="360"/>
              <w:ind w:right="-2" w:hanging="0"/>
              <w:jc w:val="center"/>
              <w:rPr>
                <w:sz w:val="20"/>
                <w:szCs w:val="20"/>
              </w:rPr>
            </w:pPr>
            <w:r>
              <w:rPr>
                <w:sz w:val="20"/>
                <w:szCs w:val="20"/>
              </w:rPr>
              <w:t>0,158802</w:t>
            </w:r>
          </w:p>
        </w:tc>
      </w:tr>
      <w:tr>
        <w:trPr>
          <w:trHeight w:val="283" w:hRule="atLeast"/>
        </w:trPr>
        <w:tc>
          <w:tcPr>
            <w:tcW w:w="1387" w:type="dxa"/>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Landsat 5/TM</w:t>
            </w:r>
          </w:p>
          <w:p>
            <w:pPr>
              <w:pStyle w:val="Normal"/>
              <w:spacing w:lineRule="auto" w:line="360"/>
              <w:ind w:right="-2" w:hanging="0"/>
              <w:jc w:val="center"/>
              <w:rPr>
                <w:sz w:val="20"/>
                <w:szCs w:val="20"/>
              </w:rPr>
            </w:pPr>
            <w:r>
              <w:rPr>
                <w:sz w:val="20"/>
                <w:szCs w:val="20"/>
              </w:rPr>
              <w:t>03/07/2009</w:t>
            </w:r>
          </w:p>
        </w:tc>
        <w:tc>
          <w:tcPr>
            <w:tcW w:w="1474" w:type="dxa"/>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MLP</w:t>
            </w:r>
          </w:p>
          <w:p>
            <w:pPr>
              <w:pStyle w:val="Normal"/>
              <w:jc w:val="center"/>
              <w:rPr>
                <w:sz w:val="20"/>
                <w:szCs w:val="20"/>
              </w:rPr>
            </w:pPr>
            <w:r>
              <w:rPr>
                <w:sz w:val="20"/>
                <w:szCs w:val="20"/>
              </w:rPr>
              <w:t>4-11-8-1</w:t>
            </w:r>
          </w:p>
        </w:tc>
        <w:tc>
          <w:tcPr>
            <w:tcW w:w="1119" w:type="dxa"/>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R, NIR, OSAVI e MTVI2</w:t>
            </w:r>
          </w:p>
        </w:tc>
        <w:tc>
          <w:tcPr>
            <w:tcW w:w="1393" w:type="dxa"/>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BP100, CG20, CG56b</w:t>
            </w:r>
          </w:p>
        </w:tc>
        <w:tc>
          <w:tcPr>
            <w:tcW w:w="1209" w:type="dxa"/>
            <w:tcBorders>
              <w:top w:val="single" w:sz="4" w:space="0" w:color="000000"/>
              <w:bottom w:val="single" w:sz="4" w:space="0" w:color="000000"/>
            </w:tcBorders>
            <w:shd w:color="auto" w:fill="auto" w:val="clear"/>
            <w:vAlign w:val="center"/>
          </w:tcPr>
          <w:p>
            <w:pPr>
              <w:pStyle w:val="Normal"/>
              <w:spacing w:lineRule="auto" w:line="360"/>
              <w:ind w:right="-2" w:hanging="0"/>
              <w:jc w:val="center"/>
              <w:rPr>
                <w:sz w:val="20"/>
                <w:szCs w:val="20"/>
              </w:rPr>
            </w:pPr>
            <w:r>
              <w:rPr>
                <w:sz w:val="20"/>
                <w:szCs w:val="20"/>
              </w:rPr>
              <w:t>0,143597</w:t>
            </w:r>
          </w:p>
        </w:tc>
        <w:tc>
          <w:tcPr>
            <w:tcW w:w="1380" w:type="dxa"/>
            <w:tcBorders>
              <w:top w:val="single" w:sz="4" w:space="0" w:color="000000"/>
              <w:bottom w:val="single" w:sz="4" w:space="0" w:color="000000"/>
            </w:tcBorders>
            <w:shd w:color="auto" w:fill="auto" w:val="clear"/>
            <w:vAlign w:val="center"/>
          </w:tcPr>
          <w:p>
            <w:pPr>
              <w:pStyle w:val="Normal"/>
              <w:spacing w:lineRule="auto" w:line="360"/>
              <w:ind w:right="-2" w:hanging="0"/>
              <w:jc w:val="center"/>
              <w:rPr>
                <w:sz w:val="20"/>
                <w:szCs w:val="20"/>
              </w:rPr>
            </w:pPr>
            <w:r>
              <w:rPr>
                <w:sz w:val="20"/>
                <w:szCs w:val="20"/>
              </w:rPr>
              <w:t>0,149263</w:t>
            </w:r>
          </w:p>
        </w:tc>
        <w:tc>
          <w:tcPr>
            <w:tcW w:w="1107" w:type="dxa"/>
            <w:tcBorders>
              <w:top w:val="single" w:sz="4" w:space="0" w:color="000000"/>
              <w:bottom w:val="single" w:sz="4" w:space="0" w:color="000000"/>
            </w:tcBorders>
            <w:shd w:color="auto" w:fill="auto" w:val="clear"/>
            <w:vAlign w:val="center"/>
          </w:tcPr>
          <w:p>
            <w:pPr>
              <w:pStyle w:val="Normal"/>
              <w:spacing w:lineRule="auto" w:line="360"/>
              <w:ind w:right="-2" w:hanging="0"/>
              <w:jc w:val="center"/>
              <w:rPr>
                <w:sz w:val="20"/>
                <w:szCs w:val="20"/>
              </w:rPr>
            </w:pPr>
            <w:r>
              <w:rPr>
                <w:sz w:val="20"/>
                <w:szCs w:val="20"/>
              </w:rPr>
              <w:t>0,141666</w:t>
            </w:r>
          </w:p>
        </w:tc>
      </w:tr>
      <w:tr>
        <w:trPr>
          <w:trHeight w:val="283" w:hRule="atLeast"/>
        </w:trPr>
        <w:tc>
          <w:tcPr>
            <w:tcW w:w="1387" w:type="dxa"/>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Landsat 5/TM</w:t>
            </w:r>
          </w:p>
          <w:p>
            <w:pPr>
              <w:pStyle w:val="Normal"/>
              <w:spacing w:lineRule="auto" w:line="360"/>
              <w:ind w:right="-2" w:hanging="0"/>
              <w:jc w:val="center"/>
              <w:rPr>
                <w:sz w:val="20"/>
                <w:szCs w:val="20"/>
              </w:rPr>
            </w:pPr>
            <w:r>
              <w:rPr>
                <w:sz w:val="20"/>
                <w:szCs w:val="20"/>
              </w:rPr>
              <w:t>20/06/2010</w:t>
            </w:r>
          </w:p>
        </w:tc>
        <w:tc>
          <w:tcPr>
            <w:tcW w:w="1474" w:type="dxa"/>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Linear</w:t>
            </w:r>
          </w:p>
          <w:p>
            <w:pPr>
              <w:pStyle w:val="Normal"/>
              <w:jc w:val="center"/>
              <w:rPr>
                <w:sz w:val="20"/>
                <w:szCs w:val="20"/>
              </w:rPr>
            </w:pPr>
            <w:r>
              <w:rPr>
                <w:sz w:val="20"/>
                <w:szCs w:val="20"/>
              </w:rPr>
              <w:t>4-1</w:t>
            </w:r>
          </w:p>
        </w:tc>
        <w:tc>
          <w:tcPr>
            <w:tcW w:w="1119" w:type="dxa"/>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R, NDVI, OSAVI e MTVI2</w:t>
            </w:r>
          </w:p>
        </w:tc>
        <w:tc>
          <w:tcPr>
            <w:tcW w:w="1393" w:type="dxa"/>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PI</w:t>
            </w:r>
          </w:p>
        </w:tc>
        <w:tc>
          <w:tcPr>
            <w:tcW w:w="1209" w:type="dxa"/>
            <w:tcBorders>
              <w:top w:val="single" w:sz="4" w:space="0" w:color="000000"/>
              <w:bottom w:val="single" w:sz="4" w:space="0" w:color="000000"/>
            </w:tcBorders>
            <w:shd w:color="auto" w:fill="auto" w:val="clear"/>
            <w:vAlign w:val="center"/>
          </w:tcPr>
          <w:p>
            <w:pPr>
              <w:pStyle w:val="Normal"/>
              <w:spacing w:lineRule="auto" w:line="360"/>
              <w:ind w:right="-2" w:hanging="0"/>
              <w:jc w:val="center"/>
              <w:rPr>
                <w:sz w:val="20"/>
                <w:szCs w:val="20"/>
              </w:rPr>
            </w:pPr>
            <w:r>
              <w:rPr>
                <w:sz w:val="20"/>
                <w:szCs w:val="20"/>
              </w:rPr>
              <w:t>0,141512</w:t>
            </w:r>
          </w:p>
        </w:tc>
        <w:tc>
          <w:tcPr>
            <w:tcW w:w="1380" w:type="dxa"/>
            <w:tcBorders>
              <w:top w:val="single" w:sz="4" w:space="0" w:color="000000"/>
              <w:bottom w:val="single" w:sz="4" w:space="0" w:color="000000"/>
            </w:tcBorders>
            <w:shd w:color="auto" w:fill="auto" w:val="clear"/>
            <w:vAlign w:val="center"/>
          </w:tcPr>
          <w:p>
            <w:pPr>
              <w:pStyle w:val="Normal"/>
              <w:spacing w:lineRule="auto" w:line="360"/>
              <w:ind w:right="-2" w:hanging="0"/>
              <w:jc w:val="center"/>
              <w:rPr>
                <w:sz w:val="20"/>
                <w:szCs w:val="20"/>
              </w:rPr>
            </w:pPr>
            <w:r>
              <w:rPr>
                <w:sz w:val="20"/>
                <w:szCs w:val="20"/>
              </w:rPr>
              <w:t>0,139565</w:t>
            </w:r>
          </w:p>
        </w:tc>
        <w:tc>
          <w:tcPr>
            <w:tcW w:w="1107" w:type="dxa"/>
            <w:tcBorders>
              <w:top w:val="single" w:sz="4" w:space="0" w:color="000000"/>
              <w:bottom w:val="single" w:sz="4" w:space="0" w:color="000000"/>
            </w:tcBorders>
            <w:shd w:color="auto" w:fill="auto" w:val="clear"/>
            <w:vAlign w:val="center"/>
          </w:tcPr>
          <w:p>
            <w:pPr>
              <w:pStyle w:val="Normal"/>
              <w:spacing w:lineRule="auto" w:line="360"/>
              <w:ind w:right="-2" w:hanging="0"/>
              <w:jc w:val="center"/>
              <w:rPr>
                <w:sz w:val="20"/>
                <w:szCs w:val="20"/>
              </w:rPr>
            </w:pPr>
            <w:r>
              <w:rPr>
                <w:sz w:val="20"/>
                <w:szCs w:val="20"/>
              </w:rPr>
              <w:t>0,131262</w:t>
            </w:r>
          </w:p>
        </w:tc>
      </w:tr>
      <w:tr>
        <w:trPr>
          <w:trHeight w:val="283" w:hRule="atLeast"/>
        </w:trPr>
        <w:tc>
          <w:tcPr>
            <w:tcW w:w="1387" w:type="dxa"/>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Landsat 5/TM</w:t>
            </w:r>
          </w:p>
          <w:p>
            <w:pPr>
              <w:pStyle w:val="Normal"/>
              <w:spacing w:lineRule="auto" w:line="360"/>
              <w:ind w:right="-2" w:hanging="0"/>
              <w:jc w:val="center"/>
              <w:rPr>
                <w:sz w:val="20"/>
                <w:szCs w:val="20"/>
              </w:rPr>
            </w:pPr>
            <w:r>
              <w:rPr>
                <w:sz w:val="20"/>
                <w:szCs w:val="20"/>
              </w:rPr>
              <w:t>22/05/2011</w:t>
            </w:r>
          </w:p>
        </w:tc>
        <w:tc>
          <w:tcPr>
            <w:tcW w:w="1474" w:type="dxa"/>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MLP</w:t>
            </w:r>
          </w:p>
          <w:p>
            <w:pPr>
              <w:pStyle w:val="Normal"/>
              <w:jc w:val="center"/>
              <w:rPr>
                <w:sz w:val="20"/>
                <w:szCs w:val="20"/>
              </w:rPr>
            </w:pPr>
            <w:r>
              <w:rPr>
                <w:sz w:val="20"/>
                <w:szCs w:val="20"/>
              </w:rPr>
              <w:t>5-11-6-1</w:t>
            </w:r>
          </w:p>
        </w:tc>
        <w:tc>
          <w:tcPr>
            <w:tcW w:w="1119" w:type="dxa"/>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G, R, NDVI, OSAVI e MTVI2</w:t>
            </w:r>
          </w:p>
        </w:tc>
        <w:tc>
          <w:tcPr>
            <w:tcW w:w="1393" w:type="dxa"/>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BP100, CG20, CG5b</w:t>
            </w:r>
          </w:p>
        </w:tc>
        <w:tc>
          <w:tcPr>
            <w:tcW w:w="1209" w:type="dxa"/>
            <w:tcBorders>
              <w:top w:val="single" w:sz="4" w:space="0" w:color="000000"/>
              <w:bottom w:val="single" w:sz="4" w:space="0" w:color="000000"/>
            </w:tcBorders>
            <w:shd w:color="auto" w:fill="auto" w:val="clear"/>
            <w:vAlign w:val="center"/>
          </w:tcPr>
          <w:p>
            <w:pPr>
              <w:pStyle w:val="Normal"/>
              <w:spacing w:lineRule="auto" w:line="360"/>
              <w:ind w:right="-2" w:hanging="0"/>
              <w:jc w:val="center"/>
              <w:rPr>
                <w:sz w:val="20"/>
                <w:szCs w:val="20"/>
              </w:rPr>
            </w:pPr>
            <w:r>
              <w:rPr>
                <w:sz w:val="20"/>
                <w:szCs w:val="20"/>
              </w:rPr>
              <w:t>0,146160</w:t>
            </w:r>
          </w:p>
        </w:tc>
        <w:tc>
          <w:tcPr>
            <w:tcW w:w="1380" w:type="dxa"/>
            <w:tcBorders>
              <w:top w:val="single" w:sz="4" w:space="0" w:color="000000"/>
              <w:bottom w:val="single" w:sz="4" w:space="0" w:color="000000"/>
            </w:tcBorders>
            <w:shd w:color="auto" w:fill="auto" w:val="clear"/>
            <w:vAlign w:val="center"/>
          </w:tcPr>
          <w:p>
            <w:pPr>
              <w:pStyle w:val="Normal"/>
              <w:spacing w:lineRule="auto" w:line="360"/>
              <w:ind w:right="-2" w:hanging="0"/>
              <w:jc w:val="center"/>
              <w:rPr>
                <w:sz w:val="20"/>
                <w:szCs w:val="20"/>
              </w:rPr>
            </w:pPr>
            <w:r>
              <w:rPr>
                <w:sz w:val="20"/>
                <w:szCs w:val="20"/>
              </w:rPr>
              <w:t>0,088597</w:t>
            </w:r>
          </w:p>
        </w:tc>
        <w:tc>
          <w:tcPr>
            <w:tcW w:w="1107" w:type="dxa"/>
            <w:tcBorders>
              <w:top w:val="single" w:sz="4" w:space="0" w:color="000000"/>
              <w:bottom w:val="single" w:sz="4" w:space="0" w:color="000000"/>
            </w:tcBorders>
            <w:shd w:color="auto" w:fill="auto" w:val="clear"/>
            <w:vAlign w:val="center"/>
          </w:tcPr>
          <w:p>
            <w:pPr>
              <w:pStyle w:val="Normal"/>
              <w:spacing w:lineRule="auto" w:line="360"/>
              <w:ind w:right="-2" w:hanging="0"/>
              <w:jc w:val="center"/>
              <w:rPr>
                <w:sz w:val="20"/>
                <w:szCs w:val="20"/>
              </w:rPr>
            </w:pPr>
            <w:r>
              <w:rPr>
                <w:sz w:val="20"/>
                <w:szCs w:val="20"/>
              </w:rPr>
              <w:t>0,104942</w:t>
            </w:r>
          </w:p>
        </w:tc>
      </w:tr>
      <w:tr>
        <w:trPr>
          <w:trHeight w:val="283" w:hRule="atLeast"/>
        </w:trPr>
        <w:tc>
          <w:tcPr>
            <w:tcW w:w="1387" w:type="dxa"/>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RapidEye</w:t>
            </w:r>
          </w:p>
          <w:p>
            <w:pPr>
              <w:pStyle w:val="Normal"/>
              <w:spacing w:lineRule="auto" w:line="360"/>
              <w:ind w:right="-2" w:hanging="0"/>
              <w:jc w:val="center"/>
              <w:rPr>
                <w:sz w:val="20"/>
                <w:szCs w:val="20"/>
              </w:rPr>
            </w:pPr>
            <w:r>
              <w:rPr>
                <w:sz w:val="20"/>
                <w:szCs w:val="20"/>
              </w:rPr>
              <w:t>20/06/2011</w:t>
            </w:r>
          </w:p>
        </w:tc>
        <w:tc>
          <w:tcPr>
            <w:tcW w:w="1474" w:type="dxa"/>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MLP</w:t>
            </w:r>
          </w:p>
          <w:p>
            <w:pPr>
              <w:pStyle w:val="Normal"/>
              <w:jc w:val="center"/>
              <w:rPr>
                <w:sz w:val="20"/>
                <w:szCs w:val="20"/>
              </w:rPr>
            </w:pPr>
            <w:r>
              <w:rPr>
                <w:sz w:val="20"/>
                <w:szCs w:val="20"/>
              </w:rPr>
              <w:t>6-12-6-1</w:t>
            </w:r>
          </w:p>
        </w:tc>
        <w:tc>
          <w:tcPr>
            <w:tcW w:w="1119" w:type="dxa"/>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G, NIR, OSAVI, GNDVI, MTVI2 e MCARI</w:t>
            </w:r>
          </w:p>
        </w:tc>
        <w:tc>
          <w:tcPr>
            <w:tcW w:w="1393" w:type="dxa"/>
            <w:tcBorders>
              <w:top w:val="single" w:sz="4" w:space="0" w:color="000000"/>
              <w:bottom w:val="single" w:sz="4" w:space="0" w:color="000000"/>
            </w:tcBorders>
            <w:shd w:color="auto" w:fill="auto" w:val="clear"/>
            <w:vAlign w:val="center"/>
          </w:tcPr>
          <w:p>
            <w:pPr>
              <w:pStyle w:val="Normal"/>
              <w:spacing w:lineRule="auto" w:line="360"/>
              <w:ind w:right="-2" w:hanging="0"/>
              <w:jc w:val="center"/>
              <w:rPr>
                <w:sz w:val="20"/>
                <w:szCs w:val="20"/>
              </w:rPr>
            </w:pPr>
            <w:r>
              <w:rPr>
                <w:sz w:val="20"/>
                <w:szCs w:val="20"/>
              </w:rPr>
              <w:t>BP100, CG20, CG16b</w:t>
            </w:r>
          </w:p>
        </w:tc>
        <w:tc>
          <w:tcPr>
            <w:tcW w:w="1209" w:type="dxa"/>
            <w:tcBorders>
              <w:top w:val="single" w:sz="4" w:space="0" w:color="000000"/>
              <w:bottom w:val="single" w:sz="4" w:space="0" w:color="000000"/>
            </w:tcBorders>
            <w:shd w:color="auto" w:fill="auto" w:val="clear"/>
            <w:vAlign w:val="center"/>
          </w:tcPr>
          <w:p>
            <w:pPr>
              <w:pStyle w:val="Normal"/>
              <w:spacing w:lineRule="auto" w:line="360"/>
              <w:ind w:right="-2" w:hanging="0"/>
              <w:jc w:val="center"/>
              <w:rPr>
                <w:sz w:val="20"/>
                <w:szCs w:val="20"/>
              </w:rPr>
            </w:pPr>
            <w:r>
              <w:rPr>
                <w:sz w:val="20"/>
                <w:szCs w:val="20"/>
              </w:rPr>
              <w:t>0,124805</w:t>
            </w:r>
          </w:p>
        </w:tc>
        <w:tc>
          <w:tcPr>
            <w:tcW w:w="1380" w:type="dxa"/>
            <w:tcBorders>
              <w:top w:val="single" w:sz="4" w:space="0" w:color="000000"/>
              <w:bottom w:val="single" w:sz="4" w:space="0" w:color="000000"/>
            </w:tcBorders>
            <w:shd w:color="auto" w:fill="auto" w:val="clear"/>
            <w:vAlign w:val="center"/>
          </w:tcPr>
          <w:p>
            <w:pPr>
              <w:pStyle w:val="Normal"/>
              <w:spacing w:lineRule="auto" w:line="360"/>
              <w:ind w:right="-2" w:hanging="0"/>
              <w:jc w:val="center"/>
              <w:rPr>
                <w:sz w:val="20"/>
                <w:szCs w:val="20"/>
              </w:rPr>
            </w:pPr>
            <w:r>
              <w:rPr>
                <w:sz w:val="20"/>
                <w:szCs w:val="20"/>
              </w:rPr>
              <w:t>0,095901</w:t>
            </w:r>
          </w:p>
        </w:tc>
        <w:tc>
          <w:tcPr>
            <w:tcW w:w="1107" w:type="dxa"/>
            <w:tcBorders>
              <w:top w:val="single" w:sz="4" w:space="0" w:color="000000"/>
              <w:bottom w:val="single" w:sz="4" w:space="0" w:color="000000"/>
            </w:tcBorders>
            <w:shd w:color="auto" w:fill="auto" w:val="clear"/>
            <w:vAlign w:val="center"/>
          </w:tcPr>
          <w:p>
            <w:pPr>
              <w:pStyle w:val="Normal"/>
              <w:spacing w:lineRule="auto" w:line="360"/>
              <w:ind w:right="-2" w:hanging="0"/>
              <w:jc w:val="center"/>
              <w:rPr>
                <w:sz w:val="20"/>
                <w:szCs w:val="20"/>
              </w:rPr>
            </w:pPr>
            <w:r>
              <w:rPr>
                <w:sz w:val="20"/>
                <w:szCs w:val="20"/>
              </w:rPr>
              <w:t>0,105325</w:t>
            </w:r>
          </w:p>
        </w:tc>
      </w:tr>
    </w:tbl>
    <w:p>
      <w:pPr>
        <w:pStyle w:val="Ttulo1"/>
        <w:shd w:val="clear" w:color="auto" w:fill="FFFFFF"/>
        <w:spacing w:before="0" w:after="0"/>
        <w:jc w:val="both"/>
        <w:rPr>
          <w:rFonts w:ascii="Times New Roman" w:hAnsi="Times New Roman"/>
          <w:b w:val="false"/>
          <w:b w:val="false"/>
          <w:bCs w:val="false"/>
          <w:kern w:val="0"/>
          <w:sz w:val="20"/>
          <w:szCs w:val="20"/>
        </w:rPr>
      </w:pPr>
      <w:r>
        <w:rPr>
          <w:rFonts w:ascii="Times New Roman" w:hAnsi="Times New Roman"/>
          <w:b w:val="false"/>
          <w:bCs w:val="false"/>
          <w:kern w:val="0"/>
          <w:sz w:val="20"/>
          <w:szCs w:val="20"/>
        </w:rPr>
        <w:t>MLP: Perceptron de Múltiplas Camadas; *: número de neurônios em cada camada; BP100, CG20, CG123b: 100 épocas de do algoritmo “back propagation”, seguido por 20 épocas do “conjugate gradient descente”, seguido por 123 épocas do “conjugate gradient descente”, em que o treinamento foi encerrado devido ao over-learning  (memorização) e a rede  com menor erro de seleção foi restaurada; PI: “Pseudo-Invert”.</w:t>
      </w:r>
    </w:p>
    <w:p>
      <w:pPr>
        <w:pStyle w:val="Normal"/>
        <w:spacing w:lineRule="auto" w:line="360"/>
        <w:ind w:firstLine="708"/>
        <w:jc w:val="both"/>
        <w:rPr/>
      </w:pPr>
      <w:r>
        <w:rPr/>
      </w:r>
    </w:p>
    <w:p>
      <w:pPr>
        <w:pStyle w:val="Normal"/>
        <w:spacing w:lineRule="auto" w:line="360"/>
        <w:ind w:firstLine="567"/>
        <w:jc w:val="both"/>
        <w:rPr/>
      </w:pPr>
      <w:r>
        <w:rPr/>
        <w:t xml:space="preserve">Na Figura 1 são apresentados os gráficos de dispersão dos erros percentuais da generalização para estimar volume por parcela. A rede neural selecionada utilizando dados espectrais do satélite RapidEye, data de aquisição da imagem 20/06/2011, não apresentou tendenciosidade na dispersão dos erros percentuais, porém com estimativas de baixa precisão para qualquer valor de volume com casca por parcela. Enquanto as outras redes apresentaram tendência de superestimação para pequenos valores de volume com casca por parcela e subestimação para altos valores, indicando que os erros podem estar correlacionados, e, consequentemente, os modelos não são válidos e confiáveis para estimativas de volume com casca por parcela. </w:t>
      </w:r>
    </w:p>
    <w:p>
      <w:pPr>
        <w:pStyle w:val="Normal"/>
        <w:spacing w:lineRule="auto" w:line="360"/>
        <w:ind w:firstLine="567"/>
        <w:jc w:val="both"/>
        <w:rPr/>
      </w:pPr>
      <w:r>
        <w:rPr/>
        <w:t xml:space="preserve">Leal et al. (2013) visando estimar volume por parcela em um povoamento de </w:t>
      </w:r>
      <w:r>
        <w:rPr>
          <w:i/>
        </w:rPr>
        <w:t>Eucalyptus urophylla</w:t>
      </w:r>
      <w:r>
        <w:rPr/>
        <w:t xml:space="preserve"> S. T. Blake, em Rio Verde / GO, com 6,5 anos de idade, utilizou somente o NDVI (obtido do satélite Landsat 5 / TM) como variável independente em cinco modelos de regressão. Entretanto, todos os modelos superestimaram o volume das parcelas com até 10 m³/parcela e subestimaram o volume das parcelas com volume superior a 10 m³/parcela.</w:t>
      </w:r>
    </w:p>
    <w:p>
      <w:pPr>
        <w:pStyle w:val="Normal"/>
        <w:spacing w:lineRule="auto" w:line="360"/>
        <w:ind w:firstLine="567"/>
        <w:jc w:val="both"/>
        <w:rPr/>
      </w:pPr>
      <w:r>
        <w:rPr/>
        <w:t>Berra (2013) encontrou tendência de superestimava nos menores volumes e subestimação nos maiores volumes, sendo que os maiores desvios ocorrem para volumes acima de 100 m</w:t>
      </w:r>
      <w:r>
        <w:rPr>
          <w:vertAlign w:val="superscript"/>
        </w:rPr>
        <w:t>3</w:t>
      </w:r>
      <w:r>
        <w:rPr/>
        <w:t>/ha, quando as árvores estavam com 7 e 8 anos de idade, período onde se observou o início do fechamento total das copas.</w:t>
      </w:r>
    </w:p>
    <w:p>
      <w:pPr>
        <w:pStyle w:val="Normal"/>
        <w:spacing w:lineRule="auto" w:line="360"/>
        <w:ind w:firstLine="567"/>
        <w:jc w:val="both"/>
        <w:rPr/>
      </w:pPr>
      <w:r>
        <w:rPr/>
        <w:t xml:space="preserve">Miguel et al. (2015) não encontraram tendência nos modelos ajustados pelas redes e regressão para estimar volume </w:t>
      </w:r>
      <w:bookmarkStart w:id="0" w:name="_GoBack"/>
      <w:bookmarkEnd w:id="0"/>
    </w:p>
    <w:p>
      <w:pPr>
        <w:pStyle w:val="Normal"/>
        <w:spacing w:lineRule="auto" w:line="360"/>
        <w:ind w:firstLine="567"/>
        <w:jc w:val="both"/>
        <w:rPr/>
      </w:pPr>
      <w:r>
        <w:rPr/>
      </w:r>
    </w:p>
    <w:p>
      <w:pPr>
        <w:pStyle w:val="Normal"/>
        <w:rPr>
          <w:color w:val="FF0000"/>
        </w:rPr>
      </w:pPr>
      <w:r>
        <w:rPr>
          <w:color w:val="FF0000"/>
        </w:rPr>
      </w:r>
      <w:r>
        <w:br w:type="page"/>
      </w:r>
    </w:p>
    <w:tbl>
      <w:tblPr>
        <w:tblStyle w:val="Tabelacomgrade"/>
        <w:tblW w:w="5000" w:type="pct"/>
        <w:jc w:val="left"/>
        <w:tblInd w:w="0" w:type="dxa"/>
        <w:tblCellMar>
          <w:top w:w="0" w:type="dxa"/>
          <w:left w:w="70" w:type="dxa"/>
          <w:bottom w:w="0" w:type="dxa"/>
          <w:right w:w="70" w:type="dxa"/>
        </w:tblCellMar>
        <w:tblLook w:firstRow="1" w:noVBand="1" w:lastRow="0" w:firstColumn="1" w:lastColumn="0" w:noHBand="0" w:val="04a0"/>
      </w:tblPr>
      <w:tblGrid>
        <w:gridCol w:w="4534"/>
        <w:gridCol w:w="4535"/>
      </w:tblGrid>
      <w:tr>
        <w:trPr>
          <w:trHeight w:val="2880" w:hRule="atLeast"/>
        </w:trPr>
        <w:tc>
          <w:tcPr>
            <w:tcW w:w="4534" w:type="dxa"/>
            <w:tcBorders>
              <w:top w:val="nil"/>
              <w:left w:val="nil"/>
              <w:bottom w:val="nil"/>
              <w:right w:val="nil"/>
            </w:tcBorders>
            <w:shd w:fill="auto" w:val="clear"/>
          </w:tcPr>
          <w:p>
            <w:pPr>
              <w:pStyle w:val="Normal"/>
              <w:pageBreakBefore/>
              <w:spacing w:before="100" w:after="100"/>
              <w:rPr/>
            </w:pPr>
            <w:r>
              <w:rPr/>
              <w:drawing>
                <wp:inline distT="0" distB="0" distL="0" distR="0">
                  <wp:extent cx="2926080" cy="22860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c>
        <w:tc>
          <w:tcPr>
            <w:tcW w:w="4535" w:type="dxa"/>
            <w:tcBorders>
              <w:top w:val="nil"/>
              <w:left w:val="nil"/>
              <w:bottom w:val="nil"/>
              <w:right w:val="nil"/>
            </w:tcBorders>
            <w:shd w:fill="auto" w:val="clear"/>
          </w:tcPr>
          <w:p>
            <w:pPr>
              <w:pStyle w:val="Normal"/>
              <w:spacing w:before="100" w:after="100"/>
              <w:rPr/>
            </w:pPr>
            <w:r>
              <w:rPr/>
              <w:drawing>
                <wp:inline distT="0" distB="0" distL="0" distR="0">
                  <wp:extent cx="2926080" cy="22860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trPr/>
        <w:tc>
          <w:tcPr>
            <w:tcW w:w="4534" w:type="dxa"/>
            <w:tcBorders>
              <w:top w:val="nil"/>
              <w:left w:val="nil"/>
              <w:bottom w:val="nil"/>
              <w:right w:val="nil"/>
            </w:tcBorders>
            <w:shd w:fill="auto" w:val="clear"/>
          </w:tcPr>
          <w:p>
            <w:pPr>
              <w:pStyle w:val="Normal"/>
              <w:spacing w:before="100" w:after="100"/>
              <w:rPr/>
            </w:pPr>
            <w:r>
              <w:rPr/>
              <w:drawing>
                <wp:inline distT="0" distB="0" distL="0" distR="0">
                  <wp:extent cx="2926080" cy="228600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4535" w:type="dxa"/>
            <w:tcBorders>
              <w:top w:val="nil"/>
              <w:left w:val="nil"/>
              <w:bottom w:val="nil"/>
              <w:right w:val="nil"/>
            </w:tcBorders>
            <w:shd w:fill="auto" w:val="clear"/>
          </w:tcPr>
          <w:p>
            <w:pPr>
              <w:pStyle w:val="Normal"/>
              <w:spacing w:before="100" w:after="100"/>
              <w:rPr/>
            </w:pPr>
            <w:r>
              <w:rPr/>
              <w:drawing>
                <wp:inline distT="0" distB="0" distL="0" distR="0">
                  <wp:extent cx="2926080" cy="228600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trPr/>
        <w:tc>
          <w:tcPr>
            <w:tcW w:w="4534" w:type="dxa"/>
            <w:tcBorders>
              <w:top w:val="nil"/>
              <w:left w:val="nil"/>
              <w:bottom w:val="nil"/>
              <w:right w:val="nil"/>
            </w:tcBorders>
            <w:shd w:fill="auto" w:val="clear"/>
          </w:tcPr>
          <w:p>
            <w:pPr>
              <w:pStyle w:val="Normal"/>
              <w:spacing w:before="100" w:after="100"/>
              <w:rPr/>
            </w:pPr>
            <w:r>
              <w:rPr/>
              <w:drawing>
                <wp:inline distT="0" distB="0" distL="0" distR="0">
                  <wp:extent cx="2926080" cy="228600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535" w:type="dxa"/>
            <w:tcBorders>
              <w:top w:val="nil"/>
              <w:left w:val="nil"/>
              <w:bottom w:val="nil"/>
              <w:right w:val="nil"/>
            </w:tcBorders>
            <w:shd w:fill="auto" w:val="clear"/>
          </w:tcPr>
          <w:p>
            <w:pPr>
              <w:pStyle w:val="Normal"/>
              <w:spacing w:before="100" w:after="100"/>
              <w:rPr/>
            </w:pPr>
            <w:r>
              <w:rPr/>
              <w:drawing>
                <wp:inline distT="0" distB="0" distL="0" distR="0">
                  <wp:extent cx="2926080" cy="2286000"/>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pPr>
        <w:pStyle w:val="Normal"/>
        <w:spacing w:before="100" w:after="100"/>
        <w:rPr/>
      </w:pPr>
      <w:r>
        <w:rPr/>
        <w:t>Figura 1. Dispersão dos erros percentuais da generalização das redes neurais artificiais (RNA) selecionadas para estimar volume com casca das parcelas.</w:t>
      </w:r>
    </w:p>
    <w:p>
      <w:pPr>
        <w:pStyle w:val="Normal"/>
        <w:spacing w:lineRule="auto" w:line="360"/>
        <w:jc w:val="both"/>
        <w:rPr>
          <w:rFonts w:eastAsia="Calibri"/>
          <w:b/>
          <w:b/>
          <w:lang w:eastAsia="en-US"/>
        </w:rPr>
      </w:pPr>
      <w:r>
        <w:rPr>
          <w:rFonts w:eastAsia="Calibri"/>
          <w:b/>
          <w:lang w:eastAsia="en-US"/>
        </w:rPr>
      </w:r>
    </w:p>
    <w:p>
      <w:pPr>
        <w:pStyle w:val="Normal"/>
        <w:spacing w:lineRule="auto" w:line="360"/>
        <w:ind w:firstLine="567"/>
        <w:jc w:val="both"/>
        <w:rPr/>
      </w:pPr>
      <w:r>
        <w:rPr/>
        <w:t xml:space="preserve">Observa-se na Tabela 4 que o teste L&amp;O detectou diferenças significativas entre os valores estimados pelas redes neurais e seus respectivos valores observados (α = 5%), o que indica que os modelos ajustados não são válidos e confiáveis para estimativas de volume de madeira por parcela, tendo-se como variáveis de entrada dados espectrais (bandas e índices de vegetação). </w:t>
      </w:r>
    </w:p>
    <w:p>
      <w:pPr>
        <w:pStyle w:val="Normal"/>
        <w:spacing w:lineRule="auto" w:line="360"/>
        <w:ind w:firstLine="567"/>
        <w:jc w:val="both"/>
        <w:rPr/>
      </w:pPr>
      <w:r>
        <w:rPr/>
      </w:r>
    </w:p>
    <w:p>
      <w:pPr>
        <w:pStyle w:val="Normal"/>
        <w:jc w:val="both"/>
        <w:rPr>
          <w:sz w:val="20"/>
          <w:szCs w:val="20"/>
        </w:rPr>
      </w:pPr>
      <w:r>
        <w:rPr>
          <w:sz w:val="20"/>
          <w:szCs w:val="20"/>
        </w:rPr>
        <w:t xml:space="preserve">Tabela 4. </w:t>
      </w:r>
      <w:r>
        <w:rPr>
          <w:color w:val="231F20"/>
          <w:sz w:val="20"/>
          <w:szCs w:val="20"/>
        </w:rPr>
        <w:t>Resumo dos resultados obtidos quando aplicado o procedimento estatístico proposto por Leite e Oliveira (2002)</w:t>
      </w:r>
    </w:p>
    <w:tbl>
      <w:tblPr>
        <w:tblW w:w="5000" w:type="pct"/>
        <w:jc w:val="left"/>
        <w:tblInd w:w="0" w:type="dxa"/>
        <w:tblCellMar>
          <w:top w:w="0" w:type="dxa"/>
          <w:left w:w="108" w:type="dxa"/>
          <w:bottom w:w="0" w:type="dxa"/>
          <w:right w:w="108" w:type="dxa"/>
        </w:tblCellMar>
        <w:tblLook w:firstRow="1" w:noVBand="1" w:lastRow="0" w:firstColumn="1" w:lastColumn="0" w:noHBand="0" w:val="04a0"/>
      </w:tblPr>
      <w:tblGrid>
        <w:gridCol w:w="1510"/>
        <w:gridCol w:w="1292"/>
        <w:gridCol w:w="1292"/>
        <w:gridCol w:w="1291"/>
        <w:gridCol w:w="1291"/>
        <w:gridCol w:w="1291"/>
        <w:gridCol w:w="1102"/>
      </w:tblGrid>
      <w:tr>
        <w:trPr/>
        <w:tc>
          <w:tcPr>
            <w:tcW w:w="1510" w:type="dxa"/>
            <w:tcBorders>
              <w:top w:val="single" w:sz="4" w:space="0" w:color="000000"/>
            </w:tcBorders>
            <w:shd w:color="auto" w:fill="auto" w:val="clear"/>
            <w:vAlign w:val="center"/>
          </w:tcPr>
          <w:p>
            <w:pPr>
              <w:pStyle w:val="Normal"/>
              <w:jc w:val="center"/>
              <w:rPr>
                <w:b/>
                <w:b/>
                <w:sz w:val="20"/>
                <w:szCs w:val="20"/>
              </w:rPr>
            </w:pPr>
            <w:r>
              <w:rPr>
                <w:b/>
                <w:sz w:val="20"/>
                <w:szCs w:val="20"/>
              </w:rPr>
              <w:t>Estatística</w:t>
            </w:r>
          </w:p>
        </w:tc>
        <w:tc>
          <w:tcPr>
            <w:tcW w:w="1292" w:type="dxa"/>
            <w:tcBorders>
              <w:top w:val="single" w:sz="4" w:space="0" w:color="000000"/>
              <w:bottom w:val="single" w:sz="4" w:space="0" w:color="000000"/>
            </w:tcBorders>
            <w:shd w:fill="auto" w:val="clear"/>
            <w:vAlign w:val="center"/>
          </w:tcPr>
          <w:p>
            <w:pPr>
              <w:pStyle w:val="Normal"/>
              <w:jc w:val="center"/>
              <w:rPr>
                <w:b/>
                <w:b/>
                <w:sz w:val="20"/>
                <w:szCs w:val="20"/>
              </w:rPr>
            </w:pPr>
            <w:r>
              <w:rPr>
                <w:b/>
                <w:sz w:val="20"/>
                <w:szCs w:val="20"/>
              </w:rPr>
              <w:t>Landsat 5 / TM</w:t>
            </w:r>
          </w:p>
          <w:p>
            <w:pPr>
              <w:pStyle w:val="Normal"/>
              <w:jc w:val="center"/>
              <w:rPr>
                <w:b/>
                <w:b/>
                <w:sz w:val="20"/>
                <w:szCs w:val="20"/>
              </w:rPr>
            </w:pPr>
            <w:r>
              <w:rPr>
                <w:b/>
                <w:sz w:val="20"/>
                <w:szCs w:val="20"/>
              </w:rPr>
              <w:t>08/01/2009</w:t>
            </w:r>
          </w:p>
        </w:tc>
        <w:tc>
          <w:tcPr>
            <w:tcW w:w="1292" w:type="dxa"/>
            <w:tcBorders>
              <w:top w:val="single" w:sz="4" w:space="0" w:color="000000"/>
              <w:bottom w:val="single" w:sz="4" w:space="0" w:color="000000"/>
            </w:tcBorders>
            <w:shd w:color="auto" w:fill="auto" w:val="clear"/>
            <w:vAlign w:val="center"/>
          </w:tcPr>
          <w:p>
            <w:pPr>
              <w:pStyle w:val="Normal"/>
              <w:jc w:val="center"/>
              <w:rPr>
                <w:b/>
                <w:b/>
                <w:sz w:val="20"/>
                <w:szCs w:val="20"/>
              </w:rPr>
            </w:pPr>
            <w:r>
              <w:rPr>
                <w:b/>
                <w:sz w:val="20"/>
                <w:szCs w:val="20"/>
              </w:rPr>
              <w:t>Landsat 5 / TM</w:t>
            </w:r>
          </w:p>
          <w:p>
            <w:pPr>
              <w:pStyle w:val="Normal"/>
              <w:jc w:val="center"/>
              <w:rPr>
                <w:b/>
                <w:b/>
                <w:sz w:val="20"/>
                <w:szCs w:val="20"/>
              </w:rPr>
            </w:pPr>
            <w:r>
              <w:rPr>
                <w:b/>
                <w:sz w:val="20"/>
                <w:szCs w:val="20"/>
              </w:rPr>
              <w:t>30/04/2009</w:t>
            </w:r>
          </w:p>
        </w:tc>
        <w:tc>
          <w:tcPr>
            <w:tcW w:w="1291" w:type="dxa"/>
            <w:tcBorders>
              <w:top w:val="single" w:sz="4" w:space="0" w:color="000000"/>
              <w:bottom w:val="single" w:sz="4" w:space="0" w:color="000000"/>
            </w:tcBorders>
            <w:shd w:color="auto" w:fill="auto" w:val="clear"/>
            <w:vAlign w:val="center"/>
          </w:tcPr>
          <w:p>
            <w:pPr>
              <w:pStyle w:val="Normal"/>
              <w:jc w:val="center"/>
              <w:rPr>
                <w:b/>
                <w:b/>
                <w:sz w:val="20"/>
                <w:szCs w:val="20"/>
              </w:rPr>
            </w:pPr>
            <w:r>
              <w:rPr>
                <w:b/>
                <w:sz w:val="20"/>
                <w:szCs w:val="20"/>
              </w:rPr>
              <w:t>Landsat 5 / TM</w:t>
            </w:r>
          </w:p>
          <w:p>
            <w:pPr>
              <w:pStyle w:val="Normal"/>
              <w:jc w:val="center"/>
              <w:rPr>
                <w:b/>
                <w:b/>
                <w:sz w:val="20"/>
                <w:szCs w:val="20"/>
              </w:rPr>
            </w:pPr>
            <w:r>
              <w:rPr>
                <w:b/>
                <w:sz w:val="20"/>
                <w:szCs w:val="20"/>
              </w:rPr>
              <w:t>03/07/2009</w:t>
            </w:r>
          </w:p>
        </w:tc>
        <w:tc>
          <w:tcPr>
            <w:tcW w:w="1291" w:type="dxa"/>
            <w:tcBorders>
              <w:top w:val="single" w:sz="4" w:space="0" w:color="000000"/>
              <w:bottom w:val="single" w:sz="4" w:space="0" w:color="000000"/>
            </w:tcBorders>
            <w:shd w:color="auto" w:fill="auto" w:val="clear"/>
            <w:vAlign w:val="center"/>
          </w:tcPr>
          <w:p>
            <w:pPr>
              <w:pStyle w:val="Normal"/>
              <w:jc w:val="center"/>
              <w:rPr>
                <w:b/>
                <w:b/>
                <w:sz w:val="20"/>
                <w:szCs w:val="20"/>
              </w:rPr>
            </w:pPr>
            <w:r>
              <w:rPr>
                <w:b/>
                <w:sz w:val="20"/>
                <w:szCs w:val="20"/>
              </w:rPr>
              <w:t>Landsat 5 / TM</w:t>
            </w:r>
          </w:p>
          <w:p>
            <w:pPr>
              <w:pStyle w:val="Normal"/>
              <w:jc w:val="center"/>
              <w:rPr>
                <w:b/>
                <w:b/>
                <w:sz w:val="20"/>
                <w:szCs w:val="20"/>
              </w:rPr>
            </w:pPr>
            <w:r>
              <w:rPr>
                <w:b/>
                <w:sz w:val="20"/>
                <w:szCs w:val="20"/>
              </w:rPr>
              <w:t>20/06/2010</w:t>
            </w:r>
          </w:p>
        </w:tc>
        <w:tc>
          <w:tcPr>
            <w:tcW w:w="1291" w:type="dxa"/>
            <w:tcBorders>
              <w:top w:val="single" w:sz="4" w:space="0" w:color="000000"/>
              <w:bottom w:val="single" w:sz="4" w:space="0" w:color="000000"/>
            </w:tcBorders>
            <w:shd w:color="auto" w:fill="auto" w:val="clear"/>
            <w:vAlign w:val="center"/>
          </w:tcPr>
          <w:p>
            <w:pPr>
              <w:pStyle w:val="Normal"/>
              <w:jc w:val="center"/>
              <w:rPr>
                <w:b/>
                <w:b/>
                <w:sz w:val="20"/>
                <w:szCs w:val="20"/>
              </w:rPr>
            </w:pPr>
            <w:r>
              <w:rPr>
                <w:b/>
                <w:sz w:val="20"/>
                <w:szCs w:val="20"/>
              </w:rPr>
              <w:t>Landsat 5 / TM</w:t>
            </w:r>
          </w:p>
          <w:p>
            <w:pPr>
              <w:pStyle w:val="Normal"/>
              <w:jc w:val="center"/>
              <w:rPr>
                <w:b/>
                <w:b/>
                <w:sz w:val="20"/>
                <w:szCs w:val="20"/>
              </w:rPr>
            </w:pPr>
            <w:r>
              <w:rPr>
                <w:b/>
                <w:sz w:val="20"/>
                <w:szCs w:val="20"/>
              </w:rPr>
              <w:t>22/05/2011</w:t>
            </w:r>
          </w:p>
        </w:tc>
        <w:tc>
          <w:tcPr>
            <w:tcW w:w="1102" w:type="dxa"/>
            <w:tcBorders>
              <w:top w:val="single" w:sz="4" w:space="0" w:color="000000"/>
              <w:bottom w:val="single" w:sz="4" w:space="0" w:color="000000"/>
            </w:tcBorders>
            <w:shd w:color="auto" w:fill="auto" w:val="clear"/>
            <w:vAlign w:val="center"/>
          </w:tcPr>
          <w:p>
            <w:pPr>
              <w:pStyle w:val="Normal"/>
              <w:jc w:val="center"/>
              <w:rPr>
                <w:b/>
                <w:b/>
                <w:sz w:val="20"/>
                <w:szCs w:val="20"/>
              </w:rPr>
            </w:pPr>
            <w:r>
              <w:rPr>
                <w:b/>
                <w:sz w:val="20"/>
                <w:szCs w:val="20"/>
              </w:rPr>
              <w:t xml:space="preserve">RapidEye </w:t>
            </w:r>
          </w:p>
          <w:p>
            <w:pPr>
              <w:pStyle w:val="Normal"/>
              <w:jc w:val="center"/>
              <w:rPr>
                <w:b/>
                <w:b/>
                <w:sz w:val="20"/>
                <w:szCs w:val="20"/>
              </w:rPr>
            </w:pPr>
            <w:r>
              <w:rPr>
                <w:b/>
                <w:sz w:val="20"/>
                <w:szCs w:val="20"/>
              </w:rPr>
              <w:t>20/06/2011</w:t>
            </w:r>
          </w:p>
        </w:tc>
      </w:tr>
      <w:tr>
        <w:trPr/>
        <w:tc>
          <w:tcPr>
            <w:tcW w:w="1510" w:type="dxa"/>
            <w:tcBorders>
              <w:top w:val="single" w:sz="4" w:space="0" w:color="000000"/>
            </w:tcBorders>
            <w:shd w:color="auto" w:fill="auto" w:val="clear"/>
            <w:vAlign w:val="center"/>
          </w:tcPr>
          <w:p>
            <w:pPr>
              <w:pStyle w:val="Normal"/>
              <w:jc w:val="center"/>
              <w:rPr>
                <w:i/>
                <w:i/>
              </w:rPr>
            </w:pPr>
            <w:r>
              <w:rPr>
                <w:i/>
                <w:sz w:val="20"/>
                <w:szCs w:val="20"/>
              </w:rPr>
              <w:t>r</w:t>
            </w:r>
            <w:r>
              <w:rPr>
                <w:i/>
                <w:sz w:val="20"/>
                <w:szCs w:val="20"/>
                <w:vertAlign w:val="superscript"/>
              </w:rPr>
              <w:t>2</w:t>
            </w:r>
          </w:p>
        </w:tc>
        <w:tc>
          <w:tcPr>
            <w:tcW w:w="1292" w:type="dxa"/>
            <w:tcBorders>
              <w:top w:val="single" w:sz="4" w:space="0" w:color="000000"/>
            </w:tcBorders>
            <w:shd w:fill="auto" w:val="clear"/>
            <w:vAlign w:val="center"/>
          </w:tcPr>
          <w:p>
            <w:pPr>
              <w:pStyle w:val="Normal"/>
              <w:jc w:val="center"/>
              <w:rPr>
                <w:sz w:val="20"/>
                <w:szCs w:val="20"/>
              </w:rPr>
            </w:pPr>
            <w:r>
              <w:rPr>
                <w:sz w:val="20"/>
                <w:szCs w:val="20"/>
              </w:rPr>
              <w:t>0,6996</w:t>
            </w:r>
          </w:p>
        </w:tc>
        <w:tc>
          <w:tcPr>
            <w:tcW w:w="1292" w:type="dxa"/>
            <w:tcBorders>
              <w:top w:val="single" w:sz="4" w:space="0" w:color="000000"/>
            </w:tcBorders>
            <w:shd w:color="auto" w:fill="auto" w:val="clear"/>
            <w:vAlign w:val="center"/>
          </w:tcPr>
          <w:p>
            <w:pPr>
              <w:pStyle w:val="Normal"/>
              <w:jc w:val="center"/>
              <w:rPr>
                <w:color w:val="000000"/>
                <w:sz w:val="20"/>
                <w:szCs w:val="20"/>
              </w:rPr>
            </w:pPr>
            <w:r>
              <w:rPr>
                <w:color w:val="000000"/>
                <w:sz w:val="20"/>
                <w:szCs w:val="20"/>
              </w:rPr>
              <w:t>0,3540</w:t>
            </w:r>
          </w:p>
        </w:tc>
        <w:tc>
          <w:tcPr>
            <w:tcW w:w="1291" w:type="dxa"/>
            <w:tcBorders>
              <w:top w:val="single" w:sz="4" w:space="0" w:color="000000"/>
            </w:tcBorders>
            <w:shd w:color="auto" w:fill="auto" w:val="clear"/>
            <w:vAlign w:val="center"/>
          </w:tcPr>
          <w:p>
            <w:pPr>
              <w:pStyle w:val="Normal"/>
              <w:jc w:val="center"/>
              <w:rPr>
                <w:sz w:val="20"/>
                <w:szCs w:val="20"/>
              </w:rPr>
            </w:pPr>
            <w:r>
              <w:rPr>
                <w:sz w:val="20"/>
                <w:szCs w:val="20"/>
              </w:rPr>
              <w:t>0,4606</w:t>
            </w:r>
          </w:p>
        </w:tc>
        <w:tc>
          <w:tcPr>
            <w:tcW w:w="1291" w:type="dxa"/>
            <w:tcBorders>
              <w:top w:val="single" w:sz="4" w:space="0" w:color="000000"/>
            </w:tcBorders>
            <w:shd w:color="auto" w:fill="auto" w:val="clear"/>
            <w:vAlign w:val="center"/>
          </w:tcPr>
          <w:p>
            <w:pPr>
              <w:pStyle w:val="Normal"/>
              <w:jc w:val="center"/>
              <w:rPr>
                <w:sz w:val="20"/>
                <w:szCs w:val="20"/>
              </w:rPr>
            </w:pPr>
            <w:r>
              <w:rPr>
                <w:sz w:val="20"/>
                <w:szCs w:val="20"/>
              </w:rPr>
              <w:t>0,3650</w:t>
            </w:r>
          </w:p>
        </w:tc>
        <w:tc>
          <w:tcPr>
            <w:tcW w:w="1291" w:type="dxa"/>
            <w:tcBorders>
              <w:top w:val="single" w:sz="4" w:space="0" w:color="000000"/>
            </w:tcBorders>
            <w:shd w:color="auto" w:fill="auto" w:val="clear"/>
            <w:vAlign w:val="center"/>
          </w:tcPr>
          <w:p>
            <w:pPr>
              <w:pStyle w:val="Normal"/>
              <w:jc w:val="center"/>
              <w:rPr>
                <w:sz w:val="20"/>
                <w:szCs w:val="20"/>
              </w:rPr>
            </w:pPr>
            <w:r>
              <w:rPr>
                <w:sz w:val="20"/>
                <w:szCs w:val="20"/>
              </w:rPr>
              <w:t>0,5536</w:t>
            </w:r>
          </w:p>
        </w:tc>
        <w:tc>
          <w:tcPr>
            <w:tcW w:w="1102" w:type="dxa"/>
            <w:tcBorders>
              <w:top w:val="single" w:sz="4" w:space="0" w:color="000000"/>
            </w:tcBorders>
            <w:shd w:color="auto" w:fill="auto" w:val="clear"/>
            <w:vAlign w:val="center"/>
          </w:tcPr>
          <w:p>
            <w:pPr>
              <w:pStyle w:val="Normal"/>
              <w:jc w:val="center"/>
              <w:rPr>
                <w:sz w:val="20"/>
                <w:szCs w:val="20"/>
              </w:rPr>
            </w:pPr>
            <w:r>
              <w:rPr>
                <w:sz w:val="20"/>
                <w:szCs w:val="20"/>
              </w:rPr>
              <w:t>0,5013</w:t>
            </w:r>
          </w:p>
        </w:tc>
      </w:tr>
      <w:tr>
        <w:trPr/>
        <w:tc>
          <w:tcPr>
            <w:tcW w:w="1510" w:type="dxa"/>
            <w:tcBorders/>
            <w:shd w:color="auto" w:fill="auto" w:val="clear"/>
            <w:vAlign w:val="center"/>
          </w:tcPr>
          <w:p>
            <w:pPr>
              <w:pStyle w:val="Normal"/>
              <w:jc w:val="center"/>
              <w:rPr>
                <w:sz w:val="20"/>
                <w:szCs w:val="20"/>
              </w:rPr>
            </w:pPr>
            <w:r>
              <w:rPr>
                <w:sz w:val="20"/>
                <w:szCs w:val="20"/>
              </w:rPr>
              <w:t>RQME (%)</w:t>
            </w:r>
          </w:p>
        </w:tc>
        <w:tc>
          <w:tcPr>
            <w:tcW w:w="1292" w:type="dxa"/>
            <w:tcBorders/>
            <w:shd w:fill="auto" w:val="clear"/>
            <w:vAlign w:val="center"/>
          </w:tcPr>
          <w:p>
            <w:pPr>
              <w:pStyle w:val="Normal"/>
              <w:jc w:val="center"/>
              <w:rPr>
                <w:sz w:val="20"/>
                <w:szCs w:val="20"/>
              </w:rPr>
            </w:pPr>
            <w:r>
              <w:rPr>
                <w:sz w:val="20"/>
                <w:szCs w:val="20"/>
              </w:rPr>
              <w:t>25,2172</w:t>
            </w:r>
          </w:p>
        </w:tc>
        <w:tc>
          <w:tcPr>
            <w:tcW w:w="1292" w:type="dxa"/>
            <w:tcBorders/>
            <w:shd w:color="auto" w:fill="auto" w:val="clear"/>
            <w:vAlign w:val="center"/>
          </w:tcPr>
          <w:p>
            <w:pPr>
              <w:pStyle w:val="Normal"/>
              <w:jc w:val="center"/>
              <w:rPr>
                <w:color w:val="000000"/>
                <w:sz w:val="20"/>
                <w:szCs w:val="20"/>
              </w:rPr>
            </w:pPr>
            <w:r>
              <w:rPr>
                <w:color w:val="000000"/>
                <w:sz w:val="20"/>
                <w:szCs w:val="20"/>
              </w:rPr>
              <w:t>33,9688</w:t>
            </w:r>
          </w:p>
        </w:tc>
        <w:tc>
          <w:tcPr>
            <w:tcW w:w="1291" w:type="dxa"/>
            <w:tcBorders/>
            <w:shd w:color="auto" w:fill="auto" w:val="clear"/>
            <w:vAlign w:val="center"/>
          </w:tcPr>
          <w:p>
            <w:pPr>
              <w:pStyle w:val="Normal"/>
              <w:jc w:val="center"/>
              <w:rPr>
                <w:sz w:val="20"/>
                <w:szCs w:val="20"/>
              </w:rPr>
            </w:pPr>
            <w:r>
              <w:rPr>
                <w:sz w:val="20"/>
                <w:szCs w:val="20"/>
              </w:rPr>
              <w:t>28,4345</w:t>
            </w:r>
          </w:p>
        </w:tc>
        <w:tc>
          <w:tcPr>
            <w:tcW w:w="1291" w:type="dxa"/>
            <w:tcBorders/>
            <w:shd w:color="auto" w:fill="auto" w:val="clear"/>
            <w:vAlign w:val="center"/>
          </w:tcPr>
          <w:p>
            <w:pPr>
              <w:pStyle w:val="Normal"/>
              <w:jc w:val="center"/>
              <w:rPr>
                <w:sz w:val="20"/>
                <w:szCs w:val="20"/>
              </w:rPr>
            </w:pPr>
            <w:r>
              <w:rPr>
                <w:sz w:val="20"/>
                <w:szCs w:val="20"/>
              </w:rPr>
              <w:t>33,4820</w:t>
            </w:r>
          </w:p>
        </w:tc>
        <w:tc>
          <w:tcPr>
            <w:tcW w:w="1291" w:type="dxa"/>
            <w:tcBorders/>
            <w:shd w:color="auto" w:fill="auto" w:val="clear"/>
            <w:vAlign w:val="center"/>
          </w:tcPr>
          <w:p>
            <w:pPr>
              <w:pStyle w:val="Normal"/>
              <w:jc w:val="center"/>
              <w:rPr>
                <w:sz w:val="20"/>
                <w:szCs w:val="20"/>
              </w:rPr>
            </w:pPr>
            <w:r>
              <w:rPr>
                <w:sz w:val="20"/>
                <w:szCs w:val="20"/>
              </w:rPr>
              <w:t>28,9870</w:t>
            </w:r>
          </w:p>
        </w:tc>
        <w:tc>
          <w:tcPr>
            <w:tcW w:w="1102" w:type="dxa"/>
            <w:tcBorders/>
            <w:shd w:color="auto" w:fill="auto" w:val="clear"/>
            <w:vAlign w:val="center"/>
          </w:tcPr>
          <w:p>
            <w:pPr>
              <w:pStyle w:val="Normal"/>
              <w:jc w:val="center"/>
              <w:rPr>
                <w:sz w:val="20"/>
                <w:szCs w:val="20"/>
              </w:rPr>
            </w:pPr>
            <w:r>
              <w:rPr>
                <w:sz w:val="20"/>
                <w:szCs w:val="20"/>
              </w:rPr>
              <w:t>27,4350</w:t>
            </w:r>
          </w:p>
        </w:tc>
      </w:tr>
      <w:tr>
        <w:trPr/>
        <w:tc>
          <w:tcPr>
            <w:tcW w:w="1510" w:type="dxa"/>
            <w:tcBorders/>
            <w:shd w:color="auto" w:fill="auto" w:val="clear"/>
            <w:vAlign w:val="center"/>
          </w:tcPr>
          <w:p>
            <w:pPr>
              <w:pStyle w:val="Normal"/>
              <w:jc w:val="center"/>
              <w:rPr>
                <w:sz w:val="20"/>
                <w:szCs w:val="20"/>
              </w:rPr>
            </w:pPr>
            <w:r>
              <w:rPr/>
            </w:r>
            <m:oMath xmlns:m="http://schemas.openxmlformats.org/officeDocument/2006/math">
              <m:acc>
                <m:accPr>
                  <m:chr m:val="´"/>
                </m:accPr>
                <m:e>
                  <m:r>
                    <w:rPr>
                      <w:rFonts w:ascii="Cambria Math" w:hAnsi="Cambria Math"/>
                    </w:rPr>
                    <m:t xml:space="preserve">e</m:t>
                  </m:r>
                </m:e>
              </m:acc>
            </m:oMath>
          </w:p>
        </w:tc>
        <w:tc>
          <w:tcPr>
            <w:tcW w:w="1292" w:type="dxa"/>
            <w:tcBorders/>
            <w:shd w:fill="auto" w:val="clear"/>
            <w:vAlign w:val="center"/>
          </w:tcPr>
          <w:p>
            <w:pPr>
              <w:pStyle w:val="Normal"/>
              <w:jc w:val="center"/>
              <w:rPr>
                <w:color w:val="000000"/>
                <w:sz w:val="20"/>
                <w:szCs w:val="20"/>
              </w:rPr>
            </w:pPr>
            <w:r>
              <w:rPr>
                <w:sz w:val="20"/>
                <w:szCs w:val="20"/>
              </w:rPr>
              <w:t>0,0678</w:t>
            </w:r>
          </w:p>
        </w:tc>
        <w:tc>
          <w:tcPr>
            <w:tcW w:w="1292" w:type="dxa"/>
            <w:tcBorders/>
            <w:shd w:color="auto" w:fill="auto" w:val="clear"/>
            <w:vAlign w:val="center"/>
          </w:tcPr>
          <w:p>
            <w:pPr>
              <w:pStyle w:val="Normal"/>
              <w:jc w:val="center"/>
              <w:rPr>
                <w:color w:val="000000"/>
                <w:sz w:val="20"/>
                <w:szCs w:val="20"/>
              </w:rPr>
            </w:pPr>
            <w:r>
              <w:rPr>
                <w:color w:val="000000"/>
                <w:sz w:val="20"/>
                <w:szCs w:val="20"/>
              </w:rPr>
              <w:t>0,0671</w:t>
            </w:r>
          </w:p>
        </w:tc>
        <w:tc>
          <w:tcPr>
            <w:tcW w:w="1291" w:type="dxa"/>
            <w:tcBorders/>
            <w:shd w:color="auto" w:fill="auto" w:val="clear"/>
            <w:vAlign w:val="center"/>
          </w:tcPr>
          <w:p>
            <w:pPr>
              <w:pStyle w:val="Normal"/>
              <w:jc w:val="center"/>
              <w:rPr>
                <w:sz w:val="20"/>
                <w:szCs w:val="20"/>
              </w:rPr>
            </w:pPr>
            <w:r>
              <w:rPr>
                <w:sz w:val="20"/>
                <w:szCs w:val="20"/>
              </w:rPr>
              <w:t>0,03905</w:t>
            </w:r>
          </w:p>
        </w:tc>
        <w:tc>
          <w:tcPr>
            <w:tcW w:w="1291" w:type="dxa"/>
            <w:tcBorders/>
            <w:shd w:color="auto" w:fill="auto" w:val="clear"/>
            <w:vAlign w:val="center"/>
          </w:tcPr>
          <w:p>
            <w:pPr>
              <w:pStyle w:val="Normal"/>
              <w:jc w:val="center"/>
              <w:rPr>
                <w:sz w:val="20"/>
                <w:szCs w:val="20"/>
              </w:rPr>
            </w:pPr>
            <w:r>
              <w:rPr>
                <w:sz w:val="20"/>
                <w:szCs w:val="20"/>
              </w:rPr>
              <w:t>0,1902</w:t>
            </w:r>
          </w:p>
        </w:tc>
        <w:tc>
          <w:tcPr>
            <w:tcW w:w="1291" w:type="dxa"/>
            <w:tcBorders/>
            <w:shd w:color="auto" w:fill="auto" w:val="clear"/>
            <w:vAlign w:val="center"/>
          </w:tcPr>
          <w:p>
            <w:pPr>
              <w:pStyle w:val="Normal"/>
              <w:jc w:val="center"/>
              <w:rPr>
                <w:sz w:val="20"/>
                <w:szCs w:val="20"/>
              </w:rPr>
            </w:pPr>
            <w:r>
              <w:rPr>
                <w:sz w:val="20"/>
                <w:szCs w:val="20"/>
              </w:rPr>
              <w:t>0,1463</w:t>
            </w:r>
          </w:p>
        </w:tc>
        <w:tc>
          <w:tcPr>
            <w:tcW w:w="1102" w:type="dxa"/>
            <w:tcBorders/>
            <w:shd w:color="auto" w:fill="auto" w:val="clear"/>
            <w:vAlign w:val="center"/>
          </w:tcPr>
          <w:p>
            <w:pPr>
              <w:pStyle w:val="Normal"/>
              <w:jc w:val="center"/>
              <w:rPr>
                <w:sz w:val="20"/>
                <w:szCs w:val="20"/>
              </w:rPr>
            </w:pPr>
            <w:r>
              <w:rPr>
                <w:sz w:val="20"/>
                <w:szCs w:val="20"/>
              </w:rPr>
              <w:t>0,0760</w:t>
            </w:r>
          </w:p>
        </w:tc>
      </w:tr>
      <w:tr>
        <w:trPr/>
        <w:tc>
          <w:tcPr>
            <w:tcW w:w="1510" w:type="dxa"/>
            <w:tcBorders/>
            <w:shd w:color="auto" w:fill="auto" w:val="clear"/>
            <w:vAlign w:val="center"/>
          </w:tcPr>
          <w:p>
            <w:pPr>
              <w:pStyle w:val="Normal"/>
              <w:jc w:val="center"/>
              <w:rPr>
                <w:sz w:val="20"/>
                <w:szCs w:val="20"/>
              </w:rPr>
            </w:pPr>
            <w:r>
              <w:rPr/>
            </w:r>
            <m:oMath xmlns:m="http://schemas.openxmlformats.org/officeDocument/2006/math">
              <m:sSub>
                <m:e>
                  <m:r>
                    <w:rPr>
                      <w:rFonts w:ascii="Cambria Math" w:hAnsi="Cambria Math"/>
                    </w:rPr>
                    <m:t xml:space="preserve">r</m:t>
                  </m:r>
                </m:e>
                <m:sub>
                  <m:sSub>
                    <m:e>
                      <m:r>
                        <w:rPr>
                          <w:rFonts w:ascii="Cambria Math" w:hAnsi="Cambria Math"/>
                        </w:rPr>
                        <m:t xml:space="preserve">Y</m:t>
                      </m:r>
                    </m:e>
                    <m:sub>
                      <m:r>
                        <w:rPr>
                          <w:rFonts w:ascii="Cambria Math" w:hAnsi="Cambria Math"/>
                        </w:rPr>
                        <m:t xml:space="preserve">j</m:t>
                      </m:r>
                    </m:sub>
                  </m:sSub>
                  <m:sSub>
                    <m:e>
                      <m:r>
                        <w:rPr>
                          <w:rFonts w:ascii="Cambria Math" w:hAnsi="Cambria Math"/>
                        </w:rPr>
                        <m:t xml:space="preserve">Y</m:t>
                      </m:r>
                    </m:e>
                    <m:sub>
                      <m:r>
                        <w:rPr>
                          <w:rFonts w:ascii="Cambria Math" w:hAnsi="Cambria Math"/>
                        </w:rPr>
                        <m:t xml:space="preserve">1</m:t>
                      </m:r>
                    </m:sub>
                  </m:sSub>
                </m:sub>
              </m:sSub>
            </m:oMath>
          </w:p>
        </w:tc>
        <w:tc>
          <w:tcPr>
            <w:tcW w:w="1292" w:type="dxa"/>
            <w:tcBorders/>
            <w:shd w:fill="auto" w:val="clear"/>
            <w:vAlign w:val="center"/>
          </w:tcPr>
          <w:p>
            <w:pPr>
              <w:pStyle w:val="Normal"/>
              <w:jc w:val="center"/>
              <w:rPr>
                <w:sz w:val="20"/>
                <w:szCs w:val="20"/>
              </w:rPr>
            </w:pPr>
            <w:r>
              <w:rPr>
                <w:sz w:val="20"/>
                <w:szCs w:val="20"/>
              </w:rPr>
              <w:t>0,8364</w:t>
            </w:r>
          </w:p>
        </w:tc>
        <w:tc>
          <w:tcPr>
            <w:tcW w:w="1292" w:type="dxa"/>
            <w:tcBorders/>
            <w:shd w:color="auto" w:fill="auto" w:val="clear"/>
            <w:vAlign w:val="center"/>
          </w:tcPr>
          <w:p>
            <w:pPr>
              <w:pStyle w:val="Normal"/>
              <w:jc w:val="center"/>
              <w:rPr>
                <w:color w:val="000000"/>
                <w:sz w:val="20"/>
                <w:szCs w:val="20"/>
              </w:rPr>
            </w:pPr>
            <w:r>
              <w:rPr>
                <w:color w:val="000000"/>
                <w:sz w:val="20"/>
                <w:szCs w:val="20"/>
              </w:rPr>
              <w:t>0,5950</w:t>
            </w:r>
          </w:p>
        </w:tc>
        <w:tc>
          <w:tcPr>
            <w:tcW w:w="1291" w:type="dxa"/>
            <w:tcBorders/>
            <w:shd w:color="auto" w:fill="auto" w:val="clear"/>
            <w:vAlign w:val="center"/>
          </w:tcPr>
          <w:p>
            <w:pPr>
              <w:pStyle w:val="Normal"/>
              <w:jc w:val="center"/>
              <w:rPr>
                <w:sz w:val="20"/>
                <w:szCs w:val="20"/>
              </w:rPr>
            </w:pPr>
            <w:r>
              <w:rPr>
                <w:sz w:val="20"/>
                <w:szCs w:val="20"/>
              </w:rPr>
              <w:t>0,6787</w:t>
            </w:r>
          </w:p>
        </w:tc>
        <w:tc>
          <w:tcPr>
            <w:tcW w:w="1291" w:type="dxa"/>
            <w:tcBorders/>
            <w:shd w:color="auto" w:fill="auto" w:val="clear"/>
            <w:vAlign w:val="center"/>
          </w:tcPr>
          <w:p>
            <w:pPr>
              <w:pStyle w:val="Normal"/>
              <w:jc w:val="center"/>
              <w:rPr>
                <w:sz w:val="20"/>
                <w:szCs w:val="20"/>
              </w:rPr>
            </w:pPr>
            <w:r>
              <w:rPr>
                <w:sz w:val="20"/>
                <w:szCs w:val="20"/>
              </w:rPr>
              <w:t>0,6041</w:t>
            </w:r>
          </w:p>
        </w:tc>
        <w:tc>
          <w:tcPr>
            <w:tcW w:w="1291" w:type="dxa"/>
            <w:tcBorders/>
            <w:shd w:color="auto" w:fill="auto" w:val="clear"/>
            <w:vAlign w:val="center"/>
          </w:tcPr>
          <w:p>
            <w:pPr>
              <w:pStyle w:val="Normal"/>
              <w:jc w:val="center"/>
              <w:rPr>
                <w:sz w:val="20"/>
                <w:szCs w:val="20"/>
              </w:rPr>
            </w:pPr>
            <w:r>
              <w:rPr>
                <w:sz w:val="20"/>
                <w:szCs w:val="20"/>
              </w:rPr>
              <w:t>0,7440</w:t>
            </w:r>
          </w:p>
        </w:tc>
        <w:tc>
          <w:tcPr>
            <w:tcW w:w="1102" w:type="dxa"/>
            <w:tcBorders/>
            <w:shd w:color="auto" w:fill="auto" w:val="clear"/>
            <w:vAlign w:val="center"/>
          </w:tcPr>
          <w:p>
            <w:pPr>
              <w:pStyle w:val="Normal"/>
              <w:jc w:val="center"/>
              <w:rPr>
                <w:sz w:val="20"/>
                <w:szCs w:val="20"/>
              </w:rPr>
            </w:pPr>
            <w:r>
              <w:rPr>
                <w:sz w:val="20"/>
                <w:szCs w:val="20"/>
              </w:rPr>
              <w:t>0,7080</w:t>
            </w:r>
          </w:p>
        </w:tc>
      </w:tr>
      <w:tr>
        <w:trPr>
          <w:trHeight w:val="479" w:hRule="atLeast"/>
        </w:trPr>
        <w:tc>
          <w:tcPr>
            <w:tcW w:w="1510" w:type="dxa"/>
            <w:tcBorders/>
            <w:shd w:color="auto" w:fill="auto" w:val="clear"/>
            <w:vAlign w:val="center"/>
          </w:tcPr>
          <w:p>
            <w:pPr>
              <w:pStyle w:val="Normal"/>
              <w:jc w:val="center"/>
              <w:rPr>
                <w:sz w:val="20"/>
                <w:szCs w:val="20"/>
              </w:rPr>
            </w:pPr>
            <w:r>
              <w:rPr>
                <w:sz w:val="20"/>
                <w:szCs w:val="20"/>
              </w:rPr>
              <w:t>F(H</w:t>
            </w:r>
            <w:r>
              <w:rPr>
                <w:sz w:val="20"/>
                <w:szCs w:val="20"/>
                <w:vertAlign w:val="subscript"/>
              </w:rPr>
              <w:t>0</w:t>
            </w:r>
            <w:r>
              <w:rPr>
                <w:sz w:val="20"/>
                <w:szCs w:val="20"/>
              </w:rPr>
              <w:t>)</w:t>
            </w:r>
          </w:p>
        </w:tc>
        <w:tc>
          <w:tcPr>
            <w:tcW w:w="1292" w:type="dxa"/>
            <w:tcBorders/>
            <w:shd w:fill="auto" w:val="clear"/>
            <w:vAlign w:val="center"/>
          </w:tcPr>
          <w:p>
            <w:pPr>
              <w:pStyle w:val="Normal"/>
              <w:jc w:val="center"/>
              <w:rPr>
                <w:sz w:val="20"/>
                <w:szCs w:val="20"/>
              </w:rPr>
            </w:pPr>
            <w:r>
              <w:rPr>
                <w:sz w:val="20"/>
                <w:szCs w:val="20"/>
              </w:rPr>
              <w:t>33,2781</w:t>
            </w:r>
            <w:r>
              <w:rPr>
                <w:sz w:val="20"/>
                <w:szCs w:val="20"/>
                <w:vertAlign w:val="superscript"/>
              </w:rPr>
              <w:t>*</w:t>
            </w:r>
          </w:p>
        </w:tc>
        <w:tc>
          <w:tcPr>
            <w:tcW w:w="1292" w:type="dxa"/>
            <w:tcBorders/>
            <w:shd w:color="auto" w:fill="auto" w:val="clear"/>
            <w:vAlign w:val="center"/>
          </w:tcPr>
          <w:p>
            <w:pPr>
              <w:pStyle w:val="Normal"/>
              <w:jc w:val="center"/>
              <w:rPr>
                <w:sz w:val="20"/>
                <w:szCs w:val="20"/>
              </w:rPr>
            </w:pPr>
            <w:r>
              <w:rPr>
                <w:sz w:val="20"/>
                <w:szCs w:val="20"/>
              </w:rPr>
              <w:t>27,9750</w:t>
            </w:r>
            <w:r>
              <w:rPr>
                <w:sz w:val="20"/>
                <w:szCs w:val="20"/>
                <w:vertAlign w:val="superscript"/>
              </w:rPr>
              <w:t>*</w:t>
            </w:r>
          </w:p>
        </w:tc>
        <w:tc>
          <w:tcPr>
            <w:tcW w:w="1291" w:type="dxa"/>
            <w:tcBorders/>
            <w:shd w:color="auto" w:fill="auto" w:val="clear"/>
            <w:vAlign w:val="center"/>
          </w:tcPr>
          <w:p>
            <w:pPr>
              <w:pStyle w:val="Normal"/>
              <w:jc w:val="center"/>
              <w:rPr>
                <w:sz w:val="20"/>
                <w:szCs w:val="20"/>
              </w:rPr>
            </w:pPr>
            <w:r>
              <w:rPr>
                <w:sz w:val="20"/>
                <w:szCs w:val="20"/>
              </w:rPr>
              <w:t>10,3070</w:t>
            </w:r>
            <w:r>
              <w:rPr>
                <w:sz w:val="20"/>
                <w:szCs w:val="20"/>
                <w:vertAlign w:val="superscript"/>
              </w:rPr>
              <w:t>*</w:t>
            </w:r>
          </w:p>
        </w:tc>
        <w:tc>
          <w:tcPr>
            <w:tcW w:w="1291" w:type="dxa"/>
            <w:tcBorders/>
            <w:shd w:color="auto" w:fill="auto" w:val="clear"/>
            <w:vAlign w:val="center"/>
          </w:tcPr>
          <w:p>
            <w:pPr>
              <w:pStyle w:val="Normal"/>
              <w:jc w:val="center"/>
              <w:rPr>
                <w:rFonts w:ascii="Arial" w:hAnsi="Arial" w:cs="Arial"/>
                <w:color w:val="000000"/>
                <w:sz w:val="20"/>
                <w:szCs w:val="20"/>
              </w:rPr>
            </w:pPr>
            <w:r>
              <w:rPr>
                <w:sz w:val="20"/>
                <w:szCs w:val="20"/>
              </w:rPr>
              <w:t>12,0350</w:t>
            </w:r>
            <w:r>
              <w:rPr>
                <w:sz w:val="20"/>
                <w:szCs w:val="20"/>
                <w:vertAlign w:val="superscript"/>
              </w:rPr>
              <w:t>*</w:t>
            </w:r>
          </w:p>
        </w:tc>
        <w:tc>
          <w:tcPr>
            <w:tcW w:w="1291" w:type="dxa"/>
            <w:tcBorders/>
            <w:shd w:color="auto" w:fill="auto" w:val="clear"/>
            <w:vAlign w:val="center"/>
          </w:tcPr>
          <w:p>
            <w:pPr>
              <w:pStyle w:val="Normal"/>
              <w:jc w:val="center"/>
              <w:rPr>
                <w:sz w:val="20"/>
                <w:szCs w:val="20"/>
              </w:rPr>
            </w:pPr>
            <w:r>
              <w:rPr>
                <w:sz w:val="20"/>
                <w:szCs w:val="20"/>
              </w:rPr>
              <w:t>19,1175</w:t>
            </w:r>
            <w:r>
              <w:rPr>
                <w:sz w:val="20"/>
                <w:szCs w:val="20"/>
                <w:vertAlign w:val="superscript"/>
              </w:rPr>
              <w:t>*</w:t>
            </w:r>
          </w:p>
        </w:tc>
        <w:tc>
          <w:tcPr>
            <w:tcW w:w="1102" w:type="dxa"/>
            <w:tcBorders/>
            <w:shd w:color="auto" w:fill="auto" w:val="clear"/>
            <w:vAlign w:val="center"/>
          </w:tcPr>
          <w:p>
            <w:pPr>
              <w:pStyle w:val="Normal"/>
              <w:jc w:val="center"/>
              <w:rPr>
                <w:sz w:val="20"/>
                <w:szCs w:val="20"/>
              </w:rPr>
            </w:pPr>
            <w:r>
              <w:rPr>
                <w:sz w:val="20"/>
                <w:szCs w:val="20"/>
              </w:rPr>
              <w:t>20,8600</w:t>
            </w:r>
            <w:r>
              <w:rPr>
                <w:sz w:val="20"/>
                <w:szCs w:val="20"/>
                <w:vertAlign w:val="superscript"/>
              </w:rPr>
              <w:t>*</w:t>
            </w:r>
          </w:p>
        </w:tc>
      </w:tr>
      <w:tr>
        <w:trPr/>
        <w:tc>
          <w:tcPr>
            <w:tcW w:w="1510" w:type="dxa"/>
            <w:tcBorders/>
            <w:shd w:color="auto" w:fill="auto" w:val="clear"/>
            <w:vAlign w:val="center"/>
          </w:tcPr>
          <w:p>
            <w:pPr>
              <w:pStyle w:val="Normal"/>
              <w:jc w:val="center"/>
              <w:rPr>
                <w:sz w:val="20"/>
                <w:szCs w:val="20"/>
              </w:rPr>
            </w:pPr>
            <w:r>
              <w:rPr>
                <w:sz w:val="20"/>
                <w:szCs w:val="20"/>
              </w:rPr>
              <w:t>t (</w:t>
            </w:r>
            <w:r>
              <w:rPr/>
            </w:r>
            <m:oMath xmlns:m="http://schemas.openxmlformats.org/officeDocument/2006/math">
              <m:acc>
                <m:accPr>
                  <m:chr m:val="´"/>
                </m:accPr>
                <m:e>
                  <m:r>
                    <w:rPr>
                      <w:rFonts w:ascii="Cambria Math" w:hAnsi="Cambria Math"/>
                    </w:rPr>
                    <m:t xml:space="preserve">e</m:t>
                  </m:r>
                </m:e>
              </m:acc>
            </m:oMath>
            <w:r>
              <w:rPr>
                <w:sz w:val="20"/>
                <w:szCs w:val="20"/>
              </w:rPr>
              <w:t>)</w:t>
            </w:r>
          </w:p>
        </w:tc>
        <w:tc>
          <w:tcPr>
            <w:tcW w:w="1292" w:type="dxa"/>
            <w:tcBorders/>
            <w:shd w:fill="auto" w:val="clear"/>
            <w:vAlign w:val="center"/>
          </w:tcPr>
          <w:p>
            <w:pPr>
              <w:pStyle w:val="Normal"/>
              <w:jc w:val="center"/>
              <w:rPr>
                <w:sz w:val="20"/>
                <w:szCs w:val="20"/>
              </w:rPr>
            </w:pPr>
            <w:r>
              <w:rPr>
                <w:sz w:val="20"/>
                <w:szCs w:val="20"/>
              </w:rPr>
              <w:t>2,1121</w:t>
            </w:r>
            <w:r>
              <w:rPr>
                <w:sz w:val="20"/>
                <w:szCs w:val="20"/>
                <w:vertAlign w:val="superscript"/>
              </w:rPr>
              <w:t>*</w:t>
            </w:r>
          </w:p>
        </w:tc>
        <w:tc>
          <w:tcPr>
            <w:tcW w:w="1292" w:type="dxa"/>
            <w:tcBorders/>
            <w:shd w:color="auto" w:fill="auto" w:val="clear"/>
            <w:vAlign w:val="center"/>
          </w:tcPr>
          <w:p>
            <w:pPr>
              <w:pStyle w:val="Normal"/>
              <w:jc w:val="center"/>
              <w:rPr>
                <w:sz w:val="20"/>
                <w:szCs w:val="20"/>
              </w:rPr>
            </w:pPr>
            <w:r>
              <w:rPr>
                <w:sz w:val="20"/>
                <w:szCs w:val="20"/>
              </w:rPr>
              <w:t>1,1542</w:t>
            </w:r>
            <w:r>
              <w:rPr>
                <w:sz w:val="20"/>
                <w:szCs w:val="20"/>
                <w:vertAlign w:val="superscript"/>
              </w:rPr>
              <w:t>ns</w:t>
            </w:r>
          </w:p>
        </w:tc>
        <w:tc>
          <w:tcPr>
            <w:tcW w:w="1291" w:type="dxa"/>
            <w:tcBorders/>
            <w:shd w:color="auto" w:fill="auto" w:val="clear"/>
            <w:vAlign w:val="center"/>
          </w:tcPr>
          <w:p>
            <w:pPr>
              <w:pStyle w:val="Normal"/>
              <w:jc w:val="center"/>
              <w:rPr>
                <w:sz w:val="20"/>
                <w:szCs w:val="20"/>
              </w:rPr>
            </w:pPr>
            <w:r>
              <w:rPr>
                <w:sz w:val="20"/>
                <w:szCs w:val="20"/>
              </w:rPr>
              <w:t>0,9115</w:t>
            </w:r>
            <w:r>
              <w:rPr>
                <w:sz w:val="20"/>
                <w:szCs w:val="20"/>
                <w:vertAlign w:val="superscript"/>
              </w:rPr>
              <w:t>ns</w:t>
            </w:r>
          </w:p>
        </w:tc>
        <w:tc>
          <w:tcPr>
            <w:tcW w:w="1291" w:type="dxa"/>
            <w:tcBorders/>
            <w:shd w:color="auto" w:fill="auto" w:val="clear"/>
            <w:vAlign w:val="center"/>
          </w:tcPr>
          <w:p>
            <w:pPr>
              <w:pStyle w:val="Normal"/>
              <w:jc w:val="center"/>
              <w:rPr>
                <w:sz w:val="20"/>
                <w:szCs w:val="20"/>
              </w:rPr>
            </w:pPr>
            <w:r>
              <w:rPr>
                <w:sz w:val="20"/>
                <w:szCs w:val="20"/>
              </w:rPr>
              <w:t>1,9862</w:t>
            </w:r>
            <w:r>
              <w:rPr>
                <w:sz w:val="20"/>
                <w:szCs w:val="20"/>
                <w:vertAlign w:val="superscript"/>
              </w:rPr>
              <w:t>ns</w:t>
            </w:r>
          </w:p>
        </w:tc>
        <w:tc>
          <w:tcPr>
            <w:tcW w:w="1291" w:type="dxa"/>
            <w:tcBorders/>
            <w:shd w:color="auto" w:fill="auto" w:val="clear"/>
            <w:vAlign w:val="center"/>
          </w:tcPr>
          <w:p>
            <w:pPr>
              <w:pStyle w:val="Normal"/>
              <w:jc w:val="center"/>
              <w:rPr>
                <w:sz w:val="20"/>
                <w:szCs w:val="20"/>
              </w:rPr>
            </w:pPr>
            <w:r>
              <w:rPr>
                <w:sz w:val="20"/>
                <w:szCs w:val="20"/>
              </w:rPr>
              <w:t>2,4862</w:t>
            </w:r>
            <w:r>
              <w:rPr>
                <w:sz w:val="20"/>
                <w:szCs w:val="20"/>
                <w:vertAlign w:val="superscript"/>
              </w:rPr>
              <w:t>*</w:t>
            </w:r>
          </w:p>
        </w:tc>
        <w:tc>
          <w:tcPr>
            <w:tcW w:w="1102" w:type="dxa"/>
            <w:tcBorders/>
            <w:shd w:color="auto" w:fill="auto" w:val="clear"/>
            <w:vAlign w:val="center"/>
          </w:tcPr>
          <w:p>
            <w:pPr>
              <w:pStyle w:val="Normal"/>
              <w:jc w:val="center"/>
              <w:rPr>
                <w:sz w:val="20"/>
                <w:szCs w:val="20"/>
              </w:rPr>
            </w:pPr>
            <w:r>
              <w:rPr>
                <w:sz w:val="20"/>
                <w:szCs w:val="20"/>
              </w:rPr>
              <w:t>1,3682</w:t>
            </w:r>
            <w:r>
              <w:rPr>
                <w:sz w:val="20"/>
                <w:szCs w:val="20"/>
                <w:vertAlign w:val="superscript"/>
              </w:rPr>
              <w:t>ns</w:t>
            </w:r>
          </w:p>
        </w:tc>
      </w:tr>
      <w:tr>
        <w:trPr/>
        <w:tc>
          <w:tcPr>
            <w:tcW w:w="1510" w:type="dxa"/>
            <w:tcBorders/>
            <w:shd w:color="auto" w:fill="auto" w:val="clear"/>
            <w:vAlign w:val="center"/>
          </w:tcPr>
          <w:p>
            <w:pPr>
              <w:pStyle w:val="Normal"/>
              <w:jc w:val="center"/>
              <w:rPr>
                <w:sz w:val="20"/>
                <w:szCs w:val="20"/>
              </w:rPr>
            </w:pPr>
            <w:r>
              <w:rPr/>
            </w:r>
            <m:oMath xmlns:m="http://schemas.openxmlformats.org/officeDocument/2006/math">
              <m:sSub>
                <m:e>
                  <m:r>
                    <w:rPr>
                      <w:rFonts w:ascii="Cambria Math" w:hAnsi="Cambria Math"/>
                    </w:rPr>
                    <m:t xml:space="preserve">r</m:t>
                  </m:r>
                </m:e>
                <m:sub>
                  <m:sSub>
                    <m:e>
                      <m:r>
                        <w:rPr>
                          <w:rFonts w:ascii="Cambria Math" w:hAnsi="Cambria Math"/>
                        </w:rPr>
                        <m:t xml:space="preserve">Y</m:t>
                      </m:r>
                    </m:e>
                    <m:sub>
                      <m:r>
                        <w:rPr>
                          <w:rFonts w:ascii="Cambria Math" w:hAnsi="Cambria Math"/>
                        </w:rPr>
                        <m:t xml:space="preserve">j</m:t>
                      </m:r>
                    </m:sub>
                  </m:sSub>
                  <m:sSub>
                    <m:e>
                      <m:r>
                        <w:rPr>
                          <w:rFonts w:ascii="Cambria Math" w:hAnsi="Cambria Math"/>
                        </w:rPr>
                        <m:t xml:space="preserve">Y</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acc>
                    <m:accPr>
                      <m:chr m:val="´"/>
                    </m:accPr>
                    <m:e>
                      <m:r>
                        <w:rPr>
                          <w:rFonts w:ascii="Cambria Math" w:hAnsi="Cambria Math"/>
                        </w:rPr>
                        <m:t xml:space="preserve">e</m:t>
                      </m:r>
                    </m:e>
                  </m:acc>
                </m:e>
              </m:d>
            </m:oMath>
          </w:p>
        </w:tc>
        <w:tc>
          <w:tcPr>
            <w:tcW w:w="1292" w:type="dxa"/>
            <w:tcBorders/>
            <w:shd w:fill="auto" w:val="clear"/>
            <w:vAlign w:val="center"/>
          </w:tcPr>
          <w:p>
            <w:pPr>
              <w:pStyle w:val="Normal"/>
              <w:jc w:val="center"/>
              <w:rPr>
                <w:sz w:val="20"/>
                <w:szCs w:val="20"/>
              </w:rPr>
            </w:pPr>
            <w:r>
              <w:rPr>
                <w:sz w:val="20"/>
                <w:szCs w:val="20"/>
              </w:rPr>
              <w:t>não</w:t>
            </w:r>
          </w:p>
        </w:tc>
        <w:tc>
          <w:tcPr>
            <w:tcW w:w="1292" w:type="dxa"/>
            <w:tcBorders/>
            <w:shd w:color="auto" w:fill="auto" w:val="clear"/>
            <w:vAlign w:val="center"/>
          </w:tcPr>
          <w:p>
            <w:pPr>
              <w:pStyle w:val="Normal"/>
              <w:jc w:val="center"/>
              <w:rPr>
                <w:sz w:val="20"/>
                <w:szCs w:val="20"/>
              </w:rPr>
            </w:pPr>
            <w:r>
              <w:rPr>
                <w:sz w:val="20"/>
                <w:szCs w:val="20"/>
              </w:rPr>
              <w:t>não</w:t>
            </w:r>
          </w:p>
        </w:tc>
        <w:tc>
          <w:tcPr>
            <w:tcW w:w="1291" w:type="dxa"/>
            <w:tcBorders/>
            <w:shd w:color="auto" w:fill="auto" w:val="clear"/>
            <w:vAlign w:val="center"/>
          </w:tcPr>
          <w:p>
            <w:pPr>
              <w:pStyle w:val="Normal"/>
              <w:jc w:val="center"/>
              <w:rPr>
                <w:sz w:val="20"/>
                <w:szCs w:val="20"/>
              </w:rPr>
            </w:pPr>
            <w:r>
              <w:rPr>
                <w:sz w:val="20"/>
                <w:szCs w:val="20"/>
              </w:rPr>
              <w:t>não</w:t>
            </w:r>
          </w:p>
        </w:tc>
        <w:tc>
          <w:tcPr>
            <w:tcW w:w="1291" w:type="dxa"/>
            <w:tcBorders/>
            <w:shd w:color="auto" w:fill="auto" w:val="clear"/>
            <w:vAlign w:val="center"/>
          </w:tcPr>
          <w:p>
            <w:pPr>
              <w:pStyle w:val="Normal"/>
              <w:jc w:val="center"/>
              <w:rPr>
                <w:sz w:val="20"/>
                <w:szCs w:val="20"/>
              </w:rPr>
            </w:pPr>
            <w:r>
              <w:rPr>
                <w:sz w:val="20"/>
                <w:szCs w:val="20"/>
              </w:rPr>
              <w:t>não</w:t>
            </w:r>
          </w:p>
        </w:tc>
        <w:tc>
          <w:tcPr>
            <w:tcW w:w="1291" w:type="dxa"/>
            <w:tcBorders/>
            <w:shd w:color="auto" w:fill="auto" w:val="clear"/>
            <w:vAlign w:val="center"/>
          </w:tcPr>
          <w:p>
            <w:pPr>
              <w:pStyle w:val="Normal"/>
              <w:jc w:val="center"/>
              <w:rPr>
                <w:sz w:val="20"/>
                <w:szCs w:val="20"/>
              </w:rPr>
            </w:pPr>
            <w:r>
              <w:rPr>
                <w:sz w:val="20"/>
                <w:szCs w:val="20"/>
              </w:rPr>
              <w:t>não</w:t>
            </w:r>
          </w:p>
        </w:tc>
        <w:tc>
          <w:tcPr>
            <w:tcW w:w="1102" w:type="dxa"/>
            <w:tcBorders/>
            <w:shd w:color="auto" w:fill="auto" w:val="clear"/>
            <w:vAlign w:val="center"/>
          </w:tcPr>
          <w:p>
            <w:pPr>
              <w:pStyle w:val="Normal"/>
              <w:jc w:val="center"/>
              <w:rPr>
                <w:sz w:val="20"/>
                <w:szCs w:val="20"/>
              </w:rPr>
            </w:pPr>
            <w:r>
              <w:rPr>
                <w:sz w:val="20"/>
                <w:szCs w:val="20"/>
              </w:rPr>
              <w:t>não</w:t>
            </w:r>
          </w:p>
        </w:tc>
      </w:tr>
      <w:tr>
        <w:trPr/>
        <w:tc>
          <w:tcPr>
            <w:tcW w:w="1510" w:type="dxa"/>
            <w:tcBorders>
              <w:top w:val="single" w:sz="4" w:space="0" w:color="000000"/>
              <w:bottom w:val="single" w:sz="4" w:space="0" w:color="000000"/>
            </w:tcBorders>
            <w:shd w:color="auto" w:fill="auto" w:val="clear"/>
            <w:vAlign w:val="center"/>
          </w:tcPr>
          <w:p>
            <w:pPr>
              <w:pStyle w:val="Normal"/>
              <w:jc w:val="center"/>
              <w:rPr>
                <w:sz w:val="20"/>
                <w:szCs w:val="20"/>
              </w:rPr>
            </w:pPr>
            <w:r>
              <w:rPr>
                <w:sz w:val="20"/>
                <w:szCs w:val="20"/>
              </w:rPr>
              <w:t>Resultado</w:t>
            </w:r>
          </w:p>
        </w:tc>
        <w:tc>
          <w:tcPr>
            <w:tcW w:w="1292" w:type="dxa"/>
            <w:tcBorders>
              <w:top w:val="single" w:sz="4" w:space="0" w:color="000000"/>
              <w:bottom w:val="single" w:sz="4" w:space="0" w:color="000000"/>
            </w:tcBorders>
            <w:shd w:fill="auto" w:val="clear"/>
            <w:vAlign w:val="center"/>
          </w:tcPr>
          <w:p>
            <w:pPr>
              <w:pStyle w:val="Normal"/>
              <w:jc w:val="center"/>
              <w:rPr>
                <w:sz w:val="20"/>
                <w:szCs w:val="20"/>
              </w:rPr>
            </w:pPr>
            <w:r>
              <w:rPr/>
            </w:r>
            <m:oMath xmlns:m="http://schemas.openxmlformats.org/officeDocument/2006/math">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oMath>
          </w:p>
        </w:tc>
        <w:tc>
          <w:tcPr>
            <w:tcW w:w="1292" w:type="dxa"/>
            <w:tcBorders>
              <w:top w:val="single" w:sz="4" w:space="0" w:color="000000"/>
              <w:bottom w:val="single" w:sz="4" w:space="0" w:color="000000"/>
            </w:tcBorders>
            <w:shd w:color="auto" w:fill="auto" w:val="clear"/>
            <w:vAlign w:val="center"/>
          </w:tcPr>
          <w:p>
            <w:pPr>
              <w:pStyle w:val="Normal"/>
              <w:jc w:val="center"/>
              <w:rPr>
                <w:sz w:val="20"/>
                <w:szCs w:val="20"/>
              </w:rPr>
            </w:pPr>
            <w:r>
              <w:rPr/>
            </w:r>
            <m:oMath xmlns:m="http://schemas.openxmlformats.org/officeDocument/2006/math">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oMath>
          </w:p>
        </w:tc>
        <w:tc>
          <w:tcPr>
            <w:tcW w:w="1291" w:type="dxa"/>
            <w:tcBorders>
              <w:top w:val="single" w:sz="4" w:space="0" w:color="000000"/>
              <w:bottom w:val="single" w:sz="4" w:space="0" w:color="000000"/>
            </w:tcBorders>
            <w:shd w:color="auto" w:fill="auto" w:val="clear"/>
            <w:vAlign w:val="center"/>
          </w:tcPr>
          <w:p>
            <w:pPr>
              <w:pStyle w:val="Normal"/>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oMath>
          </w:p>
        </w:tc>
        <w:tc>
          <w:tcPr>
            <w:tcW w:w="1291" w:type="dxa"/>
            <w:tcBorders>
              <w:top w:val="single" w:sz="4" w:space="0" w:color="000000"/>
              <w:bottom w:val="single" w:sz="4" w:space="0" w:color="000000"/>
            </w:tcBorders>
            <w:shd w:color="auto" w:fill="auto" w:val="clear"/>
            <w:vAlign w:val="center"/>
          </w:tcPr>
          <w:p>
            <w:pPr>
              <w:pStyle w:val="Normal"/>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oMath>
          </w:p>
        </w:tc>
        <w:tc>
          <w:tcPr>
            <w:tcW w:w="1291" w:type="dxa"/>
            <w:tcBorders>
              <w:top w:val="single" w:sz="4" w:space="0" w:color="000000"/>
              <w:bottom w:val="single" w:sz="4" w:space="0" w:color="000000"/>
            </w:tcBorders>
            <w:shd w:color="auto" w:fill="auto" w:val="clear"/>
            <w:vAlign w:val="center"/>
          </w:tcPr>
          <w:p>
            <w:pPr>
              <w:pStyle w:val="Normal"/>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oMath>
          </w:p>
        </w:tc>
        <w:tc>
          <w:tcPr>
            <w:tcW w:w="1102" w:type="dxa"/>
            <w:tcBorders>
              <w:top w:val="single" w:sz="4" w:space="0" w:color="000000"/>
              <w:bottom w:val="single" w:sz="4" w:space="0" w:color="000000"/>
            </w:tcBorders>
            <w:shd w:color="auto" w:fill="auto" w:val="clear"/>
            <w:vAlign w:val="center"/>
          </w:tcPr>
          <w:p>
            <w:pPr>
              <w:pStyle w:val="Normal"/>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oMath>
          </w:p>
        </w:tc>
      </w:tr>
    </w:tbl>
    <w:p>
      <w:pPr>
        <w:pStyle w:val="Normal"/>
        <w:jc w:val="both"/>
        <w:rPr>
          <w:sz w:val="20"/>
          <w:szCs w:val="20"/>
        </w:rPr>
      </w:pPr>
      <w:r>
        <w:rPr>
          <w:bCs/>
          <w:i/>
          <w:sz w:val="20"/>
          <w:szCs w:val="20"/>
        </w:rPr>
        <w:t>r</w:t>
      </w:r>
      <w:r>
        <w:rPr>
          <w:bCs/>
          <w:i/>
          <w:sz w:val="20"/>
          <w:szCs w:val="20"/>
          <w:vertAlign w:val="superscript"/>
        </w:rPr>
        <w:t>2</w:t>
      </w:r>
      <w:r>
        <w:rPr>
          <w:bCs/>
          <w:sz w:val="20"/>
          <w:szCs w:val="20"/>
        </w:rPr>
        <w:t>: coeficiente de determinação; RQEM: raiz quadrada do erro quadrático médio;</w:t>
      </w:r>
      <w:r>
        <w:rPr>
          <w:sz w:val="20"/>
          <w:szCs w:val="20"/>
          <w:vertAlign w:val="superscript"/>
        </w:rPr>
        <w:t xml:space="preserve"> </w:t>
      </w:r>
      <w:r>
        <w:rPr/>
      </w:r>
      <m:oMath xmlns:m="http://schemas.openxmlformats.org/officeDocument/2006/math">
        <m:acc>
          <m:accPr>
            <m:chr m:val="´"/>
          </m:accPr>
          <m:e>
            <m:r>
              <w:rPr>
                <w:rFonts w:ascii="Cambria Math" w:hAnsi="Cambria Math"/>
              </w:rPr>
              <m:t xml:space="preserve">e</m:t>
            </m:r>
          </m:e>
        </m:acc>
      </m:oMath>
      <w:r>
        <w:rPr>
          <w:sz w:val="20"/>
        </w:rPr>
        <w:t xml:space="preserve">: erro médio; </w:t>
      </w:r>
      <w:r>
        <w:rPr/>
      </w:r>
      <m:oMath xmlns:m="http://schemas.openxmlformats.org/officeDocument/2006/math">
        <m:sSub>
          <m:e>
            <m:r>
              <w:rPr>
                <w:rFonts w:ascii="Cambria Math" w:hAnsi="Cambria Math"/>
              </w:rPr>
              <m:t xml:space="preserve">Y</m:t>
            </m:r>
          </m:e>
          <m:sub>
            <m:r>
              <w:rPr>
                <w:rFonts w:ascii="Cambria Math" w:hAnsi="Cambria Math"/>
              </w:rPr>
              <m:t xml:space="preserve">j</m:t>
            </m:r>
          </m:sub>
        </m:sSub>
        <m:r>
          <w:rPr>
            <w:rFonts w:ascii="Cambria Math" w:hAnsi="Cambria Math"/>
          </w:rPr>
          <m:t xml:space="preserve">e</m:t>
        </m:r>
        <m:sSub>
          <m:e>
            <m:r>
              <w:rPr>
                <w:rFonts w:ascii="Cambria Math" w:hAnsi="Cambria Math"/>
              </w:rPr>
              <m:t xml:space="preserve">Y</m:t>
            </m:r>
          </m:e>
          <m:sub>
            <m:r>
              <w:rPr>
                <w:rFonts w:ascii="Cambria Math" w:hAnsi="Cambria Math"/>
              </w:rPr>
              <m:t xml:space="preserve">1</m:t>
            </m:r>
          </m:sub>
        </m:sSub>
      </m:oMath>
      <w:r>
        <w:rPr>
          <w:sz w:val="22"/>
        </w:rPr>
        <w:t xml:space="preserve">: são dois vetores de dados quantitativos, em que </w:t>
      </w:r>
      <w:r>
        <w:rPr>
          <w:i/>
          <w:sz w:val="22"/>
        </w:rPr>
        <w:t>j</w:t>
      </w:r>
      <w:r>
        <w:rPr>
          <w:sz w:val="22"/>
        </w:rPr>
        <w:t xml:space="preserve"> indica o método alternativo (redes neurais e dados espectrais) e 1, o método padrão; </w:t>
      </w:r>
      <w:r>
        <w:rPr/>
      </w:r>
      <m:oMath xmlns:m="http://schemas.openxmlformats.org/officeDocument/2006/math">
        <m:sSub>
          <m:e>
            <m:r>
              <w:rPr>
                <w:rFonts w:ascii="Cambria Math" w:hAnsi="Cambria Math"/>
              </w:rPr>
              <m:t xml:space="preserve">r</m:t>
            </m:r>
          </m:e>
          <m:sub>
            <m:sSub>
              <m:e>
                <m:r>
                  <w:rPr>
                    <w:rFonts w:ascii="Cambria Math" w:hAnsi="Cambria Math"/>
                  </w:rPr>
                  <m:t xml:space="preserve">Y</m:t>
                </m:r>
              </m:e>
              <m:sub>
                <m:r>
                  <w:rPr>
                    <w:rFonts w:ascii="Cambria Math" w:hAnsi="Cambria Math"/>
                  </w:rPr>
                  <m:t xml:space="preserve">j</m:t>
                </m:r>
              </m:sub>
            </m:sSub>
            <m:sSub>
              <m:e>
                <m:r>
                  <w:rPr>
                    <w:rFonts w:ascii="Cambria Math" w:hAnsi="Cambria Math"/>
                  </w:rPr>
                  <m:t xml:space="preserve">Y</m:t>
                </m:r>
              </m:e>
              <m:sub>
                <m:r>
                  <w:rPr>
                    <w:rFonts w:ascii="Cambria Math" w:hAnsi="Cambria Math"/>
                  </w:rPr>
                  <m:t xml:space="preserve">1</m:t>
                </m:r>
              </m:sub>
            </m:sSub>
          </m:sub>
        </m:sSub>
      </m:oMath>
      <w:r>
        <w:rPr>
          <w:bCs/>
          <w:sz w:val="20"/>
          <w:szCs w:val="20"/>
        </w:rPr>
        <w:t xml:space="preserve">: coeficiente de correlação; </w:t>
      </w:r>
      <w:r>
        <w:rPr>
          <w:sz w:val="20"/>
          <w:szCs w:val="20"/>
          <w:vertAlign w:val="superscript"/>
        </w:rPr>
        <w:t>ns</w:t>
      </w:r>
      <w:r>
        <w:rPr>
          <w:sz w:val="20"/>
          <w:szCs w:val="20"/>
        </w:rPr>
        <w:t xml:space="preserve"> e </w:t>
      </w:r>
      <w:r>
        <w:rPr>
          <w:sz w:val="20"/>
          <w:szCs w:val="20"/>
          <w:vertAlign w:val="superscript"/>
        </w:rPr>
        <w:t>*</w:t>
      </w:r>
      <w:r>
        <w:rPr>
          <w:sz w:val="20"/>
          <w:szCs w:val="20"/>
        </w:rPr>
        <w:t>: não significativo e significativo ao nível de 5 % de probabilidade, respectivamente.</w:t>
      </w:r>
    </w:p>
    <w:p>
      <w:pPr>
        <w:pStyle w:val="Normal"/>
        <w:spacing w:lineRule="auto" w:line="360"/>
        <w:jc w:val="both"/>
        <w:rPr>
          <w:rFonts w:eastAsia="Calibri"/>
          <w:b/>
          <w:b/>
          <w:lang w:eastAsia="en-US"/>
        </w:rPr>
      </w:pPr>
      <w:r>
        <w:rPr>
          <w:rFonts w:eastAsia="Calibri"/>
          <w:b/>
          <w:lang w:eastAsia="en-US"/>
        </w:rPr>
      </w:r>
    </w:p>
    <w:p>
      <w:pPr>
        <w:pStyle w:val="Normal"/>
        <w:spacing w:lineRule="auto" w:line="360"/>
        <w:ind w:firstLine="567"/>
        <w:jc w:val="both"/>
        <w:rPr>
          <w:color w:val="FF0000"/>
          <w:sz w:val="23"/>
          <w:szCs w:val="23"/>
        </w:rPr>
      </w:pPr>
      <w:r>
        <w:rPr>
          <w:color w:val="FF0000"/>
          <w:sz w:val="23"/>
          <w:szCs w:val="23"/>
        </w:rPr>
        <w:t>Os resultados encontrados neste estudo confirmam os apresentados em outros trabalhos, demostrando que as redes neurais artificiais e os dados espectrais derivados do sensor TM / Landsat 5 e Rapideye podem ser utilizados para a estimativa do volume de madeira de florestas comerciais de teca na área de estudo. Apresentando como vantagens, em relação aos métodos tradicionais (alto custo dos inventários florestais, amostragem cobrem menos de 2% da área total), estimativas que cobrem 100% da área, com menor tempo e custo, além de ser não destrutivo). Sabe-se que a coleta de dados é responsável pela maior parte dos custos de um inventário florestal.</w:t>
      </w:r>
    </w:p>
    <w:p>
      <w:pPr>
        <w:pStyle w:val="Normal"/>
        <w:spacing w:lineRule="auto" w:line="360"/>
        <w:ind w:firstLine="567"/>
        <w:jc w:val="both"/>
        <w:rPr/>
      </w:pPr>
      <w:r>
        <w:rPr>
          <w:color w:val="FF0000"/>
          <w:sz w:val="23"/>
          <w:szCs w:val="23"/>
        </w:rPr>
        <w:t>Nos próximos estudos, sugere-se que novas técnicas sejam avaliadas, acrescentando a variável área basal.</w:t>
      </w:r>
    </w:p>
    <w:p>
      <w:pPr>
        <w:pStyle w:val="Normal"/>
        <w:spacing w:lineRule="auto" w:line="360"/>
        <w:ind w:firstLine="567"/>
        <w:jc w:val="both"/>
        <w:rPr>
          <w:color w:val="FF0000"/>
          <w:sz w:val="23"/>
          <w:szCs w:val="23"/>
        </w:rPr>
      </w:pPr>
      <w:r>
        <w:rPr>
          <w:color w:val="FF0000"/>
          <w:sz w:val="23"/>
          <w:szCs w:val="23"/>
        </w:rPr>
      </w:r>
    </w:p>
    <w:p>
      <w:pPr>
        <w:pStyle w:val="Normal"/>
        <w:spacing w:lineRule="auto" w:line="360"/>
        <w:ind w:firstLine="567"/>
        <w:jc w:val="both"/>
        <w:rPr>
          <w:color w:val="FF0000"/>
          <w:sz w:val="23"/>
          <w:szCs w:val="23"/>
        </w:rPr>
      </w:pPr>
      <w:r>
        <w:rPr>
          <w:color w:val="FF0000"/>
          <w:sz w:val="23"/>
          <w:szCs w:val="23"/>
        </w:rPr>
      </w:r>
    </w:p>
    <w:p>
      <w:pPr>
        <w:pStyle w:val="Normal"/>
        <w:spacing w:lineRule="auto" w:line="360"/>
        <w:jc w:val="both"/>
        <w:rPr>
          <w:rFonts w:eastAsia="Calibri"/>
          <w:b/>
          <w:b/>
          <w:lang w:eastAsia="en-US"/>
        </w:rPr>
      </w:pPr>
      <w:r>
        <w:rPr>
          <w:rFonts w:eastAsia="Calibri"/>
          <w:b/>
          <w:lang w:eastAsia="en-US"/>
        </w:rPr>
      </w:r>
    </w:p>
    <w:p>
      <w:pPr>
        <w:pStyle w:val="ListParagraph"/>
        <w:numPr>
          <w:ilvl w:val="0"/>
          <w:numId w:val="1"/>
        </w:numPr>
        <w:tabs>
          <w:tab w:val="clear" w:pos="708"/>
          <w:tab w:val="left" w:pos="426" w:leader="none"/>
          <w:tab w:val="left" w:pos="851" w:leader="none"/>
        </w:tabs>
        <w:rPr>
          <w:rFonts w:ascii="Times New Roman" w:hAnsi="Times New Roman"/>
          <w:b/>
          <w:b/>
          <w:sz w:val="24"/>
          <w:szCs w:val="24"/>
        </w:rPr>
      </w:pPr>
      <w:r>
        <w:rPr>
          <w:rFonts w:ascii="Times New Roman" w:hAnsi="Times New Roman"/>
          <w:b/>
          <w:sz w:val="24"/>
          <w:szCs w:val="24"/>
        </w:rPr>
        <w:t>CONCLUSÕES</w:t>
      </w:r>
    </w:p>
    <w:p>
      <w:pPr>
        <w:pStyle w:val="Normal"/>
        <w:spacing w:lineRule="auto" w:line="360"/>
        <w:ind w:firstLine="567"/>
        <w:jc w:val="both"/>
        <w:rPr>
          <w:color w:val="FF0000"/>
        </w:rPr>
      </w:pPr>
      <w:r>
        <w:rPr>
          <w:color w:val="FF0000"/>
        </w:rPr>
        <w:t>Os resultados obtidos indicam a existência de correlações entre o volume de madeira levantados em campo e os dados espectrais (bandas e índices de vegetação), demonstrando assim a possibilidade de utilização da metodologia para a estimativa do volume por redes neurais.</w:t>
      </w:r>
    </w:p>
    <w:p>
      <w:pPr>
        <w:pStyle w:val="Normal"/>
        <w:spacing w:lineRule="auto" w:line="360"/>
        <w:ind w:firstLine="567"/>
        <w:jc w:val="both"/>
        <w:rPr>
          <w:sz w:val="23"/>
          <w:szCs w:val="23"/>
        </w:rPr>
      </w:pPr>
      <w:r>
        <w:rPr>
          <w:sz w:val="23"/>
          <w:szCs w:val="23"/>
        </w:rPr>
        <w:t>A metodologia utilizada demonstrou potencial de aplicação de forma integrada aos inventários tradicionais.</w:t>
      </w:r>
    </w:p>
    <w:p>
      <w:pPr>
        <w:pStyle w:val="Normal"/>
        <w:spacing w:lineRule="auto" w:line="360"/>
        <w:ind w:firstLine="567"/>
        <w:jc w:val="both"/>
        <w:rPr>
          <w:sz w:val="23"/>
          <w:szCs w:val="23"/>
        </w:rPr>
      </w:pPr>
      <w:r>
        <w:rPr>
          <w:sz w:val="23"/>
          <w:szCs w:val="23"/>
        </w:rPr>
      </w:r>
    </w:p>
    <w:p>
      <w:pPr>
        <w:pStyle w:val="ListParagraph"/>
        <w:numPr>
          <w:ilvl w:val="0"/>
          <w:numId w:val="1"/>
        </w:numPr>
        <w:tabs>
          <w:tab w:val="clear" w:pos="708"/>
          <w:tab w:val="left" w:pos="426" w:leader="none"/>
          <w:tab w:val="left" w:pos="851" w:leader="none"/>
        </w:tabs>
        <w:rPr>
          <w:rFonts w:ascii="Times New Roman" w:hAnsi="Times New Roman"/>
          <w:b/>
          <w:b/>
          <w:sz w:val="24"/>
          <w:szCs w:val="24"/>
        </w:rPr>
      </w:pPr>
      <w:r>
        <w:rPr>
          <w:rFonts w:ascii="Times New Roman" w:hAnsi="Times New Roman"/>
          <w:b/>
          <w:sz w:val="24"/>
          <w:szCs w:val="24"/>
        </w:rPr>
        <w:t>REFERÊNCIAS</w:t>
      </w:r>
    </w:p>
    <w:p>
      <w:pPr>
        <w:pStyle w:val="Normal"/>
        <w:ind w:left="360" w:hanging="360"/>
        <w:rPr/>
      </w:pPr>
      <w:r>
        <w:rPr/>
      </w:r>
    </w:p>
    <w:p>
      <w:pPr>
        <w:pStyle w:val="Normal"/>
        <w:ind w:left="360" w:hanging="360"/>
        <w:rPr/>
      </w:pPr>
      <w:r>
        <w:rPr/>
      </w:r>
    </w:p>
    <w:p>
      <w:pPr>
        <w:pStyle w:val="Normal"/>
        <w:ind w:left="360" w:hanging="360"/>
        <w:jc w:val="right"/>
        <w:rPr/>
      </w:pPr>
      <w:r>
        <w:rPr/>
        <w:t>Assinatura do Orientador_____________________________________</w:t>
      </w:r>
    </w:p>
    <w:p>
      <w:pPr>
        <w:pStyle w:val="Normal"/>
        <w:ind w:left="360" w:hanging="360"/>
        <w:jc w:val="right"/>
        <w:rPr/>
      </w:pPr>
      <w:r>
        <w:rPr/>
      </w:r>
    </w:p>
    <w:p>
      <w:pPr>
        <w:pStyle w:val="Normal"/>
        <w:ind w:left="360" w:hanging="360"/>
        <w:jc w:val="right"/>
        <w:rPr/>
      </w:pPr>
      <w:r>
        <w:rPr/>
        <w:t>Assinatura do Bolsista_______________________________________</w:t>
      </w:r>
    </w:p>
    <w:p>
      <w:pPr>
        <w:pStyle w:val="Normal"/>
        <w:ind w:left="360" w:hanging="360"/>
        <w:jc w:val="right"/>
        <w:rPr/>
      </w:pPr>
      <w:r>
        <w:rPr/>
      </w:r>
    </w:p>
    <w:p>
      <w:pPr>
        <w:pStyle w:val="Normal"/>
        <w:ind w:left="360" w:hanging="360"/>
        <w:jc w:val="right"/>
        <w:rPr/>
      </w:pPr>
      <w:r>
        <w:rPr>
          <w:color w:val="FF0000"/>
        </w:rPr>
        <w:t>Data: 31/10/2016</w:t>
      </w:r>
    </w:p>
    <w:sectPr>
      <w:headerReference w:type="default" r:id="rId10"/>
      <w:type w:val="nextPage"/>
      <w:pgSz w:w="11906" w:h="16838"/>
      <w:pgMar w:left="1418" w:right="1418" w:header="709"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Calibri">
    <w:charset w:val="00"/>
    <w:family w:val="roman"/>
    <w:pitch w:val="variable"/>
  </w:font>
  <w:font w:name="Arial Narrow">
    <w:charset w:val="00"/>
    <w:family w:val="roman"/>
    <w:pitch w:val="variable"/>
  </w:font>
  <w:font w:name="inherit">
    <w:charset w:val="00"/>
    <w:family w:val="roman"/>
    <w:pitch w:val="variable"/>
  </w:font>
  <w:font w:name="MS Mincho">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35" w:leader="none"/>
        <w:tab w:val="left" w:pos="5400" w:leader="none"/>
      </w:tabs>
      <w:jc w:val="center"/>
      <w:rPr>
        <w:rFonts w:ascii="Arial Narrow" w:hAnsi="Arial Narrow" w:cs="Arial Narrow"/>
        <w:b/>
        <w:b/>
        <w:bCs/>
        <w:sz w:val="20"/>
        <w:szCs w:val="20"/>
      </w:rPr>
    </w:pPr>
    <w:r>
      <w:rPr/>
      <w:drawing>
        <wp:inline distT="0" distB="0" distL="0" distR="0">
          <wp:extent cx="534670" cy="569595"/>
          <wp:effectExtent l="0" t="0" r="0" b="0"/>
          <wp:docPr id="9"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
                  <pic:cNvPicPr>
                    <a:picLocks noChangeAspect="1" noChangeArrowheads="1"/>
                  </pic:cNvPicPr>
                </pic:nvPicPr>
                <pic:blipFill>
                  <a:blip r:embed="rId1"/>
                  <a:stretch>
                    <a:fillRect/>
                  </a:stretch>
                </pic:blipFill>
                <pic:spPr bwMode="auto">
                  <a:xfrm>
                    <a:off x="0" y="0"/>
                    <a:ext cx="534670" cy="569595"/>
                  </a:xfrm>
                  <a:prstGeom prst="rect">
                    <a:avLst/>
                  </a:prstGeom>
                </pic:spPr>
              </pic:pic>
            </a:graphicData>
          </a:graphic>
        </wp:inline>
      </w:drawing>
    </w:r>
  </w:p>
  <w:p>
    <w:pPr>
      <w:pStyle w:val="Normal"/>
      <w:keepNext w:val="true"/>
      <w:jc w:val="center"/>
      <w:rPr>
        <w:rFonts w:ascii="Arial Narrow" w:hAnsi="Arial Narrow" w:cs="Arial Narrow"/>
        <w:b/>
        <w:b/>
        <w:bCs/>
        <w:sz w:val="20"/>
        <w:szCs w:val="20"/>
      </w:rPr>
    </w:pPr>
    <w:r>
      <w:rPr>
        <w:rFonts w:cs="Arial Narrow" w:ascii="Arial Narrow" w:hAnsi="Arial Narrow"/>
        <w:b/>
        <w:bCs/>
        <w:sz w:val="20"/>
        <w:szCs w:val="20"/>
      </w:rPr>
      <w:t>INSTITUTO FEDERAL DE EDUCAÇÃO, CIÊNCIA E TECNOLOGIA DE MATO GROSSO</w:t>
    </w:r>
  </w:p>
  <w:p>
    <w:pPr>
      <w:pStyle w:val="Normal"/>
      <w:jc w:val="center"/>
      <w:rPr>
        <w:rFonts w:ascii="Arial Narrow" w:hAnsi="Arial Narrow" w:cs="Arial Narrow"/>
        <w:b/>
        <w:b/>
        <w:bCs/>
        <w:sz w:val="20"/>
        <w:szCs w:val="20"/>
      </w:rPr>
    </w:pPr>
    <w:r>
      <w:rPr>
        <w:rFonts w:cs="Arial Narrow" w:ascii="Arial Narrow" w:hAnsi="Arial Narrow"/>
        <w:b/>
        <w:bCs/>
        <w:sz w:val="20"/>
        <w:szCs w:val="20"/>
      </w:rPr>
      <w:t>PRÓ-REITORIA DE PESQUISA E INOVAÇÃO</w:t>
    </w:r>
  </w:p>
  <w:p>
    <w:pPr>
      <w:pStyle w:val="Cabealho"/>
      <w:jc w:val="center"/>
      <w:rPr/>
    </w:pPr>
    <w:r>
      <w:rPr>
        <w:rFonts w:cs="Arial Narrow" w:ascii="Arial Narrow" w:hAnsi="Arial Narrow"/>
        <w:b/>
        <w:bCs/>
        <w:sz w:val="20"/>
        <w:szCs w:val="20"/>
      </w:rPr>
      <w:t>DIRETORIA DE PESQUISA E INOVAÇÃO</w:t>
    </w:r>
  </w:p>
  <w:p>
    <w:pPr>
      <w:pStyle w:val="Cabealho"/>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ascii="Times New Roman" w:hAnsi="Times New Roman" w:eastAsia="Calibri" w:cs="Times New Roman"/>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Ttulo1">
    <w:name w:val="Heading 1"/>
    <w:basedOn w:val="Normal"/>
    <w:next w:val="Normal"/>
    <w:link w:val="Ttulo1Char"/>
    <w:qFormat/>
    <w:rsid w:val="00734c52"/>
    <w:pPr>
      <w:keepNext w:val="true"/>
      <w:spacing w:before="240" w:after="60"/>
      <w:outlineLvl w:val="0"/>
    </w:pPr>
    <w:rPr>
      <w:rFonts w:ascii="Cambria" w:hAnsi="Cambria"/>
      <w:b/>
      <w:bCs/>
      <w:kern w:val="2"/>
      <w:sz w:val="32"/>
      <w:szCs w:val="32"/>
    </w:rPr>
  </w:style>
  <w:style w:type="paragraph" w:styleId="Ttulo3">
    <w:name w:val="Heading 3"/>
    <w:basedOn w:val="Normal"/>
    <w:next w:val="Normal"/>
    <w:qFormat/>
    <w:rsid w:val="000f2e55"/>
    <w:pPr>
      <w:keepNext w:val="true"/>
      <w:jc w:val="center"/>
      <w:outlineLvl w:val="2"/>
    </w:pPr>
    <w:rPr>
      <w:b/>
      <w:sz w:val="36"/>
      <w:szCs w:val="20"/>
      <w:u w:val="single"/>
    </w:rPr>
  </w:style>
  <w:style w:type="character" w:styleId="DefaultParagraphFont" w:default="1">
    <w:name w:val="Default Paragraph Font"/>
    <w:uiPriority w:val="1"/>
    <w:semiHidden/>
    <w:unhideWhenUsed/>
    <w:qFormat/>
    <w:rPr/>
  </w:style>
  <w:style w:type="character" w:styleId="CabealhoChar" w:customStyle="1">
    <w:name w:val="Cabeçalho Char"/>
    <w:link w:val="Cabealho"/>
    <w:uiPriority w:val="99"/>
    <w:qFormat/>
    <w:rsid w:val="00365d51"/>
    <w:rPr>
      <w:sz w:val="24"/>
      <w:szCs w:val="24"/>
    </w:rPr>
  </w:style>
  <w:style w:type="character" w:styleId="RodapChar" w:customStyle="1">
    <w:name w:val="Rodapé Char"/>
    <w:link w:val="Rodap"/>
    <w:qFormat/>
    <w:rsid w:val="00365d51"/>
    <w:rPr>
      <w:sz w:val="24"/>
      <w:szCs w:val="24"/>
    </w:rPr>
  </w:style>
  <w:style w:type="character" w:styleId="TextodebaloChar" w:customStyle="1">
    <w:name w:val="Texto de balão Char"/>
    <w:link w:val="Textodebalo"/>
    <w:qFormat/>
    <w:rsid w:val="00365d51"/>
    <w:rPr>
      <w:rFonts w:ascii="Tahoma" w:hAnsi="Tahoma" w:cs="Tahoma"/>
      <w:sz w:val="16"/>
      <w:szCs w:val="16"/>
    </w:rPr>
  </w:style>
  <w:style w:type="character" w:styleId="ScorpoChar" w:customStyle="1">
    <w:name w:val="S_corpo Char"/>
    <w:link w:val="Scorpo"/>
    <w:uiPriority w:val="99"/>
    <w:qFormat/>
    <w:locked/>
    <w:rsid w:val="00c53c43"/>
    <w:rPr>
      <w:rFonts w:ascii="Arial" w:hAnsi="Arial" w:cs="Arial"/>
      <w:bCs/>
      <w:sz w:val="24"/>
      <w:lang w:val="pt-PT" w:eastAsia="en-US"/>
    </w:rPr>
  </w:style>
  <w:style w:type="character" w:styleId="Strong">
    <w:name w:val="Strong"/>
    <w:qFormat/>
    <w:rsid w:val="002c1fda"/>
    <w:rPr>
      <w:b/>
      <w:bCs/>
    </w:rPr>
  </w:style>
  <w:style w:type="character" w:styleId="Ttulo1Char" w:customStyle="1">
    <w:name w:val="Título 1 Char"/>
    <w:link w:val="Ttulo1"/>
    <w:qFormat/>
    <w:rsid w:val="00734c52"/>
    <w:rPr>
      <w:rFonts w:ascii="Cambria" w:hAnsi="Cambria" w:eastAsia="Times New Roman" w:cs="Times New Roman"/>
      <w:b/>
      <w:bCs/>
      <w:kern w:val="2"/>
      <w:sz w:val="32"/>
      <w:szCs w:val="32"/>
    </w:rPr>
  </w:style>
  <w:style w:type="character" w:styleId="Annotationreference">
    <w:name w:val="annotation reference"/>
    <w:qFormat/>
    <w:rsid w:val="005665cd"/>
    <w:rPr>
      <w:sz w:val="16"/>
      <w:szCs w:val="16"/>
    </w:rPr>
  </w:style>
  <w:style w:type="character" w:styleId="TextodecomentrioChar" w:customStyle="1">
    <w:name w:val="Texto de comentário Char"/>
    <w:basedOn w:val="DefaultParagraphFont"/>
    <w:link w:val="Textodecomentrio"/>
    <w:qFormat/>
    <w:rsid w:val="005665cd"/>
    <w:rPr/>
  </w:style>
  <w:style w:type="character" w:styleId="PrformataoHTMLChar" w:customStyle="1">
    <w:name w:val="Pré-formatação HTML Char"/>
    <w:link w:val="Pr-formataoHTML"/>
    <w:uiPriority w:val="99"/>
    <w:qFormat/>
    <w:rsid w:val="00eb6820"/>
    <w:rPr>
      <w:rFonts w:ascii="Courier New" w:hAnsi="Courier New" w:cs="Courier New"/>
    </w:rPr>
  </w:style>
  <w:style w:type="character" w:styleId="Appleconvertedspace" w:customStyle="1">
    <w:name w:val="apple-converted-space"/>
    <w:qFormat/>
    <w:rsid w:val="00a66b6c"/>
    <w:rPr/>
  </w:style>
  <w:style w:type="character" w:styleId="LinkdaInternet">
    <w:name w:val="Link da Internet"/>
    <w:uiPriority w:val="99"/>
    <w:unhideWhenUsed/>
    <w:rsid w:val="00a66b6c"/>
    <w:rPr>
      <w:color w:val="0000FF"/>
      <w:u w:val="single"/>
    </w:rPr>
  </w:style>
  <w:style w:type="character" w:styleId="AssuntodocomentrioChar" w:customStyle="1">
    <w:name w:val="Assunto do comentário Char"/>
    <w:link w:val="Assuntodocomentrio"/>
    <w:qFormat/>
    <w:rsid w:val="00444acc"/>
    <w:rPr>
      <w:b/>
      <w:bCs/>
    </w:rPr>
  </w:style>
  <w:style w:type="character" w:styleId="PlaceholderText">
    <w:name w:val="Placeholder Text"/>
    <w:basedOn w:val="DefaultParagraphFont"/>
    <w:uiPriority w:val="99"/>
    <w:semiHidden/>
    <w:qFormat/>
    <w:rsid w:val="000b798e"/>
    <w:rPr>
      <w:color w:val="808080"/>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eRodap">
    <w:name w:val="Cabeçalho e Rodapé"/>
    <w:basedOn w:val="Normal"/>
    <w:qFormat/>
    <w:pPr/>
    <w:rPr/>
  </w:style>
  <w:style w:type="paragraph" w:styleId="Cabealho">
    <w:name w:val="Header"/>
    <w:basedOn w:val="Normal"/>
    <w:link w:val="CabealhoChar"/>
    <w:uiPriority w:val="99"/>
    <w:rsid w:val="00365d51"/>
    <w:pPr>
      <w:tabs>
        <w:tab w:val="clear" w:pos="708"/>
        <w:tab w:val="center" w:pos="4252" w:leader="none"/>
        <w:tab w:val="right" w:pos="8504" w:leader="none"/>
      </w:tabs>
    </w:pPr>
    <w:rPr>
      <w:lang w:val="x-none" w:eastAsia="x-none"/>
    </w:rPr>
  </w:style>
  <w:style w:type="paragraph" w:styleId="Rodap">
    <w:name w:val="Footer"/>
    <w:basedOn w:val="Normal"/>
    <w:link w:val="RodapChar"/>
    <w:rsid w:val="00365d51"/>
    <w:pPr>
      <w:tabs>
        <w:tab w:val="clear" w:pos="708"/>
        <w:tab w:val="center" w:pos="4252" w:leader="none"/>
        <w:tab w:val="right" w:pos="8504" w:leader="none"/>
      </w:tabs>
    </w:pPr>
    <w:rPr>
      <w:lang w:val="x-none" w:eastAsia="x-none"/>
    </w:rPr>
  </w:style>
  <w:style w:type="paragraph" w:styleId="BalloonText">
    <w:name w:val="Balloon Text"/>
    <w:basedOn w:val="Normal"/>
    <w:link w:val="TextodebaloChar"/>
    <w:qFormat/>
    <w:rsid w:val="00365d51"/>
    <w:pPr/>
    <w:rPr>
      <w:rFonts w:ascii="Tahoma" w:hAnsi="Tahoma"/>
      <w:sz w:val="16"/>
      <w:szCs w:val="16"/>
      <w:lang w:val="x-none" w:eastAsia="x-none"/>
    </w:rPr>
  </w:style>
  <w:style w:type="paragraph" w:styleId="ListParagraph">
    <w:name w:val="List Paragraph"/>
    <w:basedOn w:val="Normal"/>
    <w:uiPriority w:val="34"/>
    <w:qFormat/>
    <w:rsid w:val="00db4413"/>
    <w:pPr>
      <w:spacing w:lineRule="auto" w:line="276" w:before="0" w:after="200"/>
      <w:ind w:left="720" w:hanging="0"/>
      <w:contextualSpacing/>
    </w:pPr>
    <w:rPr>
      <w:rFonts w:ascii="Calibri" w:hAnsi="Calibri" w:eastAsia="Calibri"/>
      <w:sz w:val="22"/>
      <w:szCs w:val="22"/>
      <w:lang w:eastAsia="en-US"/>
    </w:rPr>
  </w:style>
  <w:style w:type="paragraph" w:styleId="Scorpo" w:customStyle="1">
    <w:name w:val="S_corpo"/>
    <w:basedOn w:val="Normal"/>
    <w:link w:val="ScorpoChar"/>
    <w:uiPriority w:val="99"/>
    <w:qFormat/>
    <w:rsid w:val="00c53c43"/>
    <w:pPr>
      <w:spacing w:lineRule="auto" w:line="360"/>
      <w:ind w:firstLine="709"/>
      <w:jc w:val="both"/>
    </w:pPr>
    <w:rPr>
      <w:rFonts w:ascii="Arial" w:hAnsi="Arial" w:cs="Arial"/>
      <w:bCs/>
      <w:szCs w:val="20"/>
      <w:lang w:val="pt-PT" w:eastAsia="en-US"/>
    </w:rPr>
  </w:style>
  <w:style w:type="paragraph" w:styleId="Default" w:customStyle="1">
    <w:name w:val="Default"/>
    <w:qFormat/>
    <w:rsid w:val="009d3ee3"/>
    <w:pPr>
      <w:widowControl/>
      <w:bidi w:val="0"/>
      <w:spacing w:before="0" w:after="0"/>
      <w:jc w:val="left"/>
    </w:pPr>
    <w:rPr>
      <w:rFonts w:ascii="Arial" w:hAnsi="Arial" w:eastAsia="Times New Roman" w:cs="Arial"/>
      <w:color w:val="000000"/>
      <w:kern w:val="0"/>
      <w:sz w:val="24"/>
      <w:szCs w:val="24"/>
      <w:lang w:val="pt-BR" w:eastAsia="pt-BR" w:bidi="ar-SA"/>
    </w:rPr>
  </w:style>
  <w:style w:type="paragraph" w:styleId="NormalWeb">
    <w:name w:val="Normal (Web)"/>
    <w:basedOn w:val="Normal"/>
    <w:uiPriority w:val="99"/>
    <w:unhideWhenUsed/>
    <w:qFormat/>
    <w:rsid w:val="008a53ae"/>
    <w:pPr>
      <w:spacing w:beforeAutospacing="1" w:afterAutospacing="1"/>
    </w:pPr>
    <w:rPr/>
  </w:style>
  <w:style w:type="paragraph" w:styleId="Annotationtext">
    <w:name w:val="annotation text"/>
    <w:basedOn w:val="Normal"/>
    <w:link w:val="TextodecomentrioChar"/>
    <w:qFormat/>
    <w:rsid w:val="005665cd"/>
    <w:pPr/>
    <w:rPr>
      <w:sz w:val="20"/>
      <w:szCs w:val="20"/>
    </w:rPr>
  </w:style>
  <w:style w:type="paragraph" w:styleId="HTMLPreformatted">
    <w:name w:val="HTML Preformatted"/>
    <w:basedOn w:val="Normal"/>
    <w:link w:val="Pr-formataoHTMLChar"/>
    <w:uiPriority w:val="99"/>
    <w:unhideWhenUsed/>
    <w:qFormat/>
    <w:rsid w:val="00eb6820"/>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Annotationsubject">
    <w:name w:val="annotation subject"/>
    <w:basedOn w:val="Annotationtext"/>
    <w:next w:val="Annotationtext"/>
    <w:link w:val="AssuntodocomentrioChar"/>
    <w:qFormat/>
    <w:rsid w:val="00444acc"/>
    <w:pPr/>
    <w:rPr>
      <w:b/>
      <w:bCs/>
    </w:rPr>
  </w:style>
  <w:style w:type="paragraph" w:styleId="Estemesmo" w:customStyle="1">
    <w:name w:val="estemesmo"/>
    <w:basedOn w:val="Normal"/>
    <w:qFormat/>
    <w:rsid w:val="006a009d"/>
    <w:pPr>
      <w:spacing w:lineRule="auto" w:line="360"/>
      <w:jc w:val="both"/>
    </w:pPr>
    <w:rPr>
      <w:rFonts w:ascii="Arial" w:hAnsi="Arial"/>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ce7f7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elacomgrade2">
    <w:name w:val="Table Grid 2"/>
    <w:basedOn w:val="Tabelanormal"/>
    <w:rsid w:val="005423a6"/>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000000"/>
                </a:solidFill>
                <a:latin typeface="Times New Roman"/>
              </a:defRPr>
            </a:pPr>
            <a:r>
              <a:rPr b="0" sz="1200" spc="-1" strike="noStrike">
                <a:solidFill>
                  <a:srgbClr val="000000"/>
                </a:solidFill>
                <a:latin typeface="Times New Roman"/>
              </a:rPr>
              <a:t>Landsat 5 / TM
08/01/2009</a:t>
            </a:r>
          </a:p>
        </c:rich>
      </c:tx>
      <c:overlay val="0"/>
      <c:spPr>
        <a:noFill/>
        <a:ln>
          <a:noFill/>
        </a:ln>
      </c:spPr>
    </c:title>
    <c:autoTitleDeleted val="0"/>
    <c:plotArea>
      <c:scatterChart>
        <c:scatterStyle val="lineMarker"/>
        <c:varyColors val="0"/>
        <c:ser>
          <c:idx val="0"/>
          <c:order val="0"/>
          <c:tx>
            <c:strRef>
              <c:f>label 0</c:f>
              <c:strCache>
                <c:ptCount val="1"/>
                <c:pt idx="0">
                  <c:v>Série sem nome 2</c:v>
                </c:pt>
              </c:strCache>
            </c:strRef>
          </c:tx>
          <c:spPr>
            <a:solidFill>
              <a:srgbClr val="000000"/>
            </a:solidFill>
            <a:ln w="28440">
              <a:noFill/>
            </a:ln>
          </c:spPr>
          <c:marker>
            <c:symbol val="circle"/>
            <c:size val="4"/>
            <c:spPr>
              <a:solidFill>
                <a:srgbClr val="000000"/>
              </a:solidFill>
            </c:spPr>
          </c:marker>
          <c:dLbls>
            <c:numFmt formatCode="General" sourceLinked="1"/>
            <c:txPr>
              <a:bodyPr/>
              <a:lstStyle/>
              <a:p>
                <a:pPr>
                  <a:defRPr b="0" sz="1200" spc="-1" strike="noStrike">
                    <a:solidFill>
                      <a:srgbClr val="000000"/>
                    </a:solidFill>
                    <a:latin typeface="Times New Roman"/>
                  </a:defRPr>
                </a:pPr>
              </a:p>
            </c:txPr>
            <c:dLblPos val="r"/>
            <c:showLegendKey val="0"/>
            <c:showVal val="0"/>
            <c:showCatName val="0"/>
            <c:showSerName val="0"/>
            <c:showPercent val="0"/>
            <c:separator>; </c:separator>
            <c:showLeaderLines val="0"/>
          </c:dLbls>
          <c:xVal>
            <c:numRef>
              <c:f>1</c:f>
              <c:numCache>
                <c:formatCode>General</c:formatCode>
                <c:ptCount val="56"/>
                <c:pt idx="0">
                  <c:v>84.775151</c:v>
                </c:pt>
                <c:pt idx="1">
                  <c:v>138.660879</c:v>
                </c:pt>
                <c:pt idx="2">
                  <c:v>152.816229</c:v>
                </c:pt>
                <c:pt idx="3">
                  <c:v>104.837992</c:v>
                </c:pt>
                <c:pt idx="4">
                  <c:v>148.358933</c:v>
                </c:pt>
                <c:pt idx="5">
                  <c:v>112.966885</c:v>
                </c:pt>
                <c:pt idx="6">
                  <c:v>73.374532</c:v>
                </c:pt>
                <c:pt idx="7">
                  <c:v>86.973736</c:v>
                </c:pt>
                <c:pt idx="8">
                  <c:v>49.205299</c:v>
                </c:pt>
                <c:pt idx="9">
                  <c:v>67.99331</c:v>
                </c:pt>
                <c:pt idx="10">
                  <c:v>63.585633</c:v>
                </c:pt>
                <c:pt idx="11">
                  <c:v>45.240934</c:v>
                </c:pt>
                <c:pt idx="12">
                  <c:v>63.449489</c:v>
                </c:pt>
                <c:pt idx="13">
                  <c:v>87.87151</c:v>
                </c:pt>
                <c:pt idx="14">
                  <c:v>51.989877</c:v>
                </c:pt>
                <c:pt idx="15">
                  <c:v>59.164248</c:v>
                </c:pt>
                <c:pt idx="16">
                  <c:v>32.004539</c:v>
                </c:pt>
                <c:pt idx="17">
                  <c:v>55.894799</c:v>
                </c:pt>
                <c:pt idx="18">
                  <c:v>72.990401</c:v>
                </c:pt>
                <c:pt idx="19">
                  <c:v>46.276777</c:v>
                </c:pt>
                <c:pt idx="20">
                  <c:v>22.272767</c:v>
                </c:pt>
                <c:pt idx="21">
                  <c:v>68.646793</c:v>
                </c:pt>
                <c:pt idx="22">
                  <c:v>71.593254</c:v>
                </c:pt>
                <c:pt idx="23">
                  <c:v>32.644183</c:v>
                </c:pt>
                <c:pt idx="24">
                  <c:v>40.282796</c:v>
                </c:pt>
                <c:pt idx="25">
                  <c:v>53.757466</c:v>
                </c:pt>
                <c:pt idx="26">
                  <c:v>71.158755</c:v>
                </c:pt>
                <c:pt idx="27">
                  <c:v>82.974217</c:v>
                </c:pt>
                <c:pt idx="28">
                  <c:v>34.51103</c:v>
                </c:pt>
                <c:pt idx="29">
                  <c:v>94.27986</c:v>
                </c:pt>
                <c:pt idx="30">
                  <c:v>63.476121</c:v>
                </c:pt>
                <c:pt idx="31">
                  <c:v>60.619108</c:v>
                </c:pt>
                <c:pt idx="32">
                  <c:v>32.915079</c:v>
                </c:pt>
                <c:pt idx="33">
                  <c:v>61.354275</c:v>
                </c:pt>
                <c:pt idx="34">
                  <c:v>34.543808</c:v>
                </c:pt>
                <c:pt idx="35">
                  <c:v>66.405469</c:v>
                </c:pt>
                <c:pt idx="36">
                  <c:v>62.978549</c:v>
                </c:pt>
                <c:pt idx="37">
                  <c:v>48.211428</c:v>
                </c:pt>
                <c:pt idx="38">
                  <c:v>51.299529</c:v>
                </c:pt>
                <c:pt idx="39">
                  <c:v>63.666247</c:v>
                </c:pt>
                <c:pt idx="40">
                  <c:v>50.924015</c:v>
                </c:pt>
                <c:pt idx="41">
                  <c:v>56.530834</c:v>
                </c:pt>
                <c:pt idx="42">
                  <c:v>52.249368</c:v>
                </c:pt>
                <c:pt idx="43">
                  <c:v>74.617597</c:v>
                </c:pt>
                <c:pt idx="44">
                  <c:v>59.90428</c:v>
                </c:pt>
                <c:pt idx="45">
                  <c:v>45.760074</c:v>
                </c:pt>
                <c:pt idx="46">
                  <c:v>47.803052</c:v>
                </c:pt>
                <c:pt idx="47">
                  <c:v>40.851372</c:v>
                </c:pt>
                <c:pt idx="48">
                  <c:v>75.74189</c:v>
                </c:pt>
                <c:pt idx="49">
                  <c:v>44.640727</c:v>
                </c:pt>
                <c:pt idx="50">
                  <c:v>56.509673</c:v>
                </c:pt>
                <c:pt idx="51">
                  <c:v>49.054808</c:v>
                </c:pt>
                <c:pt idx="52">
                  <c:v>36.410699</c:v>
                </c:pt>
                <c:pt idx="53">
                  <c:v>70.405171</c:v>
                </c:pt>
                <c:pt idx="54">
                  <c:v>152.927649</c:v>
                </c:pt>
                <c:pt idx="55">
                  <c:v>113.335721</c:v>
                </c:pt>
              </c:numCache>
            </c:numRef>
          </c:xVal>
          <c:yVal>
            <c:numRef>
              <c:f>0</c:f>
              <c:numCache>
                <c:formatCode>General</c:formatCode>
                <c:ptCount val="56"/>
                <c:pt idx="0">
                  <c:v>17.2998246540653</c:v>
                </c:pt>
                <c:pt idx="1">
                  <c:v>-5.31320490820455</c:v>
                </c:pt>
                <c:pt idx="2">
                  <c:v>-18.5232837193995</c:v>
                </c:pt>
                <c:pt idx="3">
                  <c:v>-7.85068598645071</c:v>
                </c:pt>
                <c:pt idx="4">
                  <c:v>-36.8269427503263</c:v>
                </c:pt>
                <c:pt idx="5">
                  <c:v>-37.0746363313287</c:v>
                </c:pt>
                <c:pt idx="6">
                  <c:v>-4.03962212083694</c:v>
                </c:pt>
                <c:pt idx="7">
                  <c:v>11.2947198899201</c:v>
                </c:pt>
                <c:pt idx="8">
                  <c:v>9.74432783902365</c:v>
                </c:pt>
                <c:pt idx="9">
                  <c:v>16.2008665334767</c:v>
                </c:pt>
                <c:pt idx="10">
                  <c:v>22.809034416753</c:v>
                </c:pt>
                <c:pt idx="11">
                  <c:v>23.2152678822451</c:v>
                </c:pt>
                <c:pt idx="12">
                  <c:v>8.64478683549686</c:v>
                </c:pt>
                <c:pt idx="13">
                  <c:v>-18.4899818102309</c:v>
                </c:pt>
                <c:pt idx="14">
                  <c:v>13.4266230466416</c:v>
                </c:pt>
                <c:pt idx="15">
                  <c:v>-9.51715790412445</c:v>
                </c:pt>
                <c:pt idx="16">
                  <c:v>26.745099739935</c:v>
                </c:pt>
                <c:pt idx="17">
                  <c:v>-5.37351694470605</c:v>
                </c:pt>
                <c:pt idx="18">
                  <c:v>2.40983441327389</c:v>
                </c:pt>
                <c:pt idx="19">
                  <c:v>10.8542799507607</c:v>
                </c:pt>
                <c:pt idx="20">
                  <c:v>56.9862112835049</c:v>
                </c:pt>
                <c:pt idx="21">
                  <c:v>12.1523489418884</c:v>
                </c:pt>
                <c:pt idx="22">
                  <c:v>-3.05640033468806</c:v>
                </c:pt>
                <c:pt idx="23">
                  <c:v>39.4883156127776</c:v>
                </c:pt>
                <c:pt idx="24">
                  <c:v>15.6615799639569</c:v>
                </c:pt>
                <c:pt idx="25">
                  <c:v>-2.38207422904044</c:v>
                </c:pt>
                <c:pt idx="26">
                  <c:v>-3.55930792808291</c:v>
                </c:pt>
                <c:pt idx="27">
                  <c:v>-27.6612644145889</c:v>
                </c:pt>
                <c:pt idx="28">
                  <c:v>-40.0734519255665</c:v>
                </c:pt>
                <c:pt idx="29">
                  <c:v>-11.4919710761541</c:v>
                </c:pt>
                <c:pt idx="30">
                  <c:v>-21.8683123283546</c:v>
                </c:pt>
                <c:pt idx="31">
                  <c:v>-0.349416533161586</c:v>
                </c:pt>
                <c:pt idx="32">
                  <c:v>21.004155215526</c:v>
                </c:pt>
                <c:pt idx="33">
                  <c:v>51.113080039955</c:v>
                </c:pt>
                <c:pt idx="34">
                  <c:v>62.6275039450456</c:v>
                </c:pt>
                <c:pt idx="35">
                  <c:v>-9.03265088844878</c:v>
                </c:pt>
                <c:pt idx="36">
                  <c:v>9.45720910823465</c:v>
                </c:pt>
                <c:pt idx="37">
                  <c:v>-7.53793961785599</c:v>
                </c:pt>
                <c:pt idx="38">
                  <c:v>19.3033042207764</c:v>
                </c:pt>
                <c:pt idx="39">
                  <c:v>-6.331003860195</c:v>
                </c:pt>
                <c:pt idx="40">
                  <c:v>29.6119711447853</c:v>
                </c:pt>
                <c:pt idx="41">
                  <c:v>10.383375152534</c:v>
                </c:pt>
                <c:pt idx="42">
                  <c:v>18.9729658561067</c:v>
                </c:pt>
                <c:pt idx="43">
                  <c:v>-1.06654035855292</c:v>
                </c:pt>
                <c:pt idx="44">
                  <c:v>-4.67254402872333</c:v>
                </c:pt>
                <c:pt idx="45">
                  <c:v>32.7882627042301</c:v>
                </c:pt>
                <c:pt idx="46">
                  <c:v>2.157961829044</c:v>
                </c:pt>
                <c:pt idx="47">
                  <c:v>21.397978761341</c:v>
                </c:pt>
                <c:pt idx="48">
                  <c:v>-2.73468657559425</c:v>
                </c:pt>
                <c:pt idx="49">
                  <c:v>18.542598692339</c:v>
                </c:pt>
                <c:pt idx="50">
                  <c:v>39.9834046576894</c:v>
                </c:pt>
                <c:pt idx="51">
                  <c:v>32.2072487376465</c:v>
                </c:pt>
                <c:pt idx="52">
                  <c:v>59.3915927386885</c:v>
                </c:pt>
                <c:pt idx="53">
                  <c:v>15.3459118118209</c:v>
                </c:pt>
                <c:pt idx="54">
                  <c:v>-27.2013384249786</c:v>
                </c:pt>
                <c:pt idx="55">
                  <c:v>-39.3327924001892</c:v>
                </c:pt>
              </c:numCache>
            </c:numRef>
          </c:yVal>
          <c:smooth val="0"/>
        </c:ser>
        <c:axId val="42940498"/>
        <c:axId val="80008359"/>
      </c:scatterChart>
      <c:valAx>
        <c:axId val="42940498"/>
        <c:scaling>
          <c:orientation val="minMax"/>
          <c:max val="160"/>
          <c:min val="0"/>
        </c:scaling>
        <c:delete val="0"/>
        <c:axPos val="b"/>
        <c:title>
          <c:tx>
            <c:rich>
              <a:bodyPr rot="0"/>
              <a:lstStyle/>
              <a:p>
                <a:pPr>
                  <a:defRPr b="0" sz="1200" spc="-1" strike="noStrike">
                    <a:solidFill>
                      <a:srgbClr val="000000"/>
                    </a:solidFill>
                    <a:latin typeface="Times New Roman"/>
                  </a:defRPr>
                </a:pPr>
                <a:r>
                  <a:rPr b="0" sz="1200" spc="-1" strike="noStrike">
                    <a:solidFill>
                      <a:srgbClr val="000000"/>
                    </a:solidFill>
                    <a:latin typeface="Times New Roman"/>
                  </a:rPr>
                  <a:t>Volume por parcela observado (m3/ha)</a:t>
                </a:r>
              </a:p>
            </c:rich>
          </c:tx>
          <c:overlay val="0"/>
          <c:spPr>
            <a:noFill/>
            <a:ln>
              <a:noFill/>
            </a:ln>
          </c:spPr>
        </c:title>
        <c:numFmt formatCode="#,##0" sourceLinked="0"/>
        <c:majorTickMark val="out"/>
        <c:minorTickMark val="none"/>
        <c:tickLblPos val="nextTo"/>
        <c:spPr>
          <a:ln w="9360">
            <a:solidFill>
              <a:srgbClr val="878787"/>
            </a:solidFill>
            <a:round/>
          </a:ln>
        </c:spPr>
        <c:txPr>
          <a:bodyPr/>
          <a:lstStyle/>
          <a:p>
            <a:pPr>
              <a:defRPr b="0" sz="1200" spc="-1" strike="noStrike">
                <a:solidFill>
                  <a:srgbClr val="000000"/>
                </a:solidFill>
                <a:latin typeface="Times New Roman"/>
              </a:defRPr>
            </a:pPr>
          </a:p>
        </c:txPr>
        <c:crossAx val="80008359"/>
        <c:crosses val="autoZero"/>
        <c:crossBetween val="midCat"/>
        <c:majorUnit val="20"/>
      </c:valAx>
      <c:valAx>
        <c:axId val="80008359"/>
        <c:scaling>
          <c:orientation val="minMax"/>
          <c:max val="100"/>
          <c:min val="-100"/>
        </c:scaling>
        <c:delete val="0"/>
        <c:axPos val="l"/>
        <c:title>
          <c:tx>
            <c:rich>
              <a:bodyPr rot="-5400000"/>
              <a:lstStyle/>
              <a:p>
                <a:pPr>
                  <a:defRPr b="0" sz="1200" spc="-1" strike="noStrike">
                    <a:solidFill>
                      <a:srgbClr val="000000"/>
                    </a:solidFill>
                    <a:latin typeface="Times New Roman"/>
                  </a:defRPr>
                </a:pPr>
                <a:r>
                  <a:rPr b="0" sz="1200" spc="-1" strike="noStrike">
                    <a:solidFill>
                      <a:srgbClr val="000000"/>
                    </a:solidFill>
                    <a:latin typeface="Times New Roman"/>
                  </a:rPr>
                  <a:t>Erro (%)</a:t>
                </a:r>
              </a:p>
            </c:rich>
          </c:tx>
          <c:overlay val="0"/>
          <c:spPr>
            <a:noFill/>
            <a:ln>
              <a:noFill/>
            </a:ln>
          </c:spPr>
        </c:title>
        <c:numFmt formatCode="#,##0" sourceLinked="0"/>
        <c:majorTickMark val="out"/>
        <c:minorTickMark val="out"/>
        <c:tickLblPos val="nextTo"/>
        <c:spPr>
          <a:ln w="9360">
            <a:solidFill>
              <a:srgbClr val="878787"/>
            </a:solidFill>
            <a:round/>
          </a:ln>
        </c:spPr>
        <c:txPr>
          <a:bodyPr/>
          <a:lstStyle/>
          <a:p>
            <a:pPr>
              <a:defRPr b="0" sz="1200" spc="-1" strike="noStrike">
                <a:solidFill>
                  <a:srgbClr val="000000"/>
                </a:solidFill>
                <a:latin typeface="Times New Roman"/>
              </a:defRPr>
            </a:pPr>
          </a:p>
        </c:txPr>
        <c:crossAx val="42940498"/>
        <c:crosses val="autoZero"/>
        <c:crossBetween val="midCat"/>
        <c:majorUnit val="20"/>
        <c:minorUnit val="10"/>
      </c:valAx>
      <c:spPr>
        <a:solidFill>
          <a:srgbClr val="ffffff"/>
        </a:solidFill>
        <a:ln>
          <a:noFill/>
        </a:ln>
      </c:spPr>
    </c:plotArea>
    <c:plotVisOnly val="1"/>
    <c:dispBlanksAs val="gap"/>
  </c:chart>
  <c:spPr>
    <a:solidFill>
      <a:srgbClr val="ffffff"/>
    </a:solidFill>
    <a:ln w="936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000000"/>
                </a:solidFill>
                <a:latin typeface="Times New Roman"/>
              </a:defRPr>
            </a:pPr>
            <a:r>
              <a:rPr b="0" sz="1200" spc="-1" strike="noStrike">
                <a:solidFill>
                  <a:srgbClr val="000000"/>
                </a:solidFill>
                <a:latin typeface="Times New Roman"/>
              </a:rPr>
              <a:t>Landsat 5 / TM
30/04/2009</a:t>
            </a:r>
          </a:p>
        </c:rich>
      </c:tx>
      <c:overlay val="0"/>
      <c:spPr>
        <a:noFill/>
        <a:ln>
          <a:noFill/>
        </a:ln>
      </c:spPr>
    </c:title>
    <c:autoTitleDeleted val="0"/>
    <c:plotArea>
      <c:scatterChart>
        <c:scatterStyle val="lineMarker"/>
        <c:varyColors val="0"/>
        <c:ser>
          <c:idx val="0"/>
          <c:order val="0"/>
          <c:tx>
            <c:strRef>
              <c:f>label 0</c:f>
              <c:strCache>
                <c:ptCount val="1"/>
                <c:pt idx="0">
                  <c:v>Série sem nome 2</c:v>
                </c:pt>
              </c:strCache>
            </c:strRef>
          </c:tx>
          <c:spPr>
            <a:solidFill>
              <a:srgbClr val="000000"/>
            </a:solidFill>
            <a:ln w="28440">
              <a:noFill/>
            </a:ln>
          </c:spPr>
          <c:marker>
            <c:symbol val="circle"/>
            <c:size val="4"/>
            <c:spPr>
              <a:solidFill>
                <a:srgbClr val="000000"/>
              </a:solidFill>
            </c:spPr>
          </c:marker>
          <c:dLbls>
            <c:numFmt formatCode="General" sourceLinked="1"/>
            <c:txPr>
              <a:bodyPr/>
              <a:lstStyle/>
              <a:p>
                <a:pPr>
                  <a:defRPr b="0" sz="1200" spc="-1" strike="noStrike">
                    <a:solidFill>
                      <a:srgbClr val="000000"/>
                    </a:solidFill>
                    <a:latin typeface="Times New Roman"/>
                  </a:defRPr>
                </a:pPr>
              </a:p>
            </c:txPr>
            <c:dLblPos val="r"/>
            <c:showLegendKey val="0"/>
            <c:showVal val="0"/>
            <c:showCatName val="0"/>
            <c:showSerName val="0"/>
            <c:showPercent val="0"/>
            <c:separator>; </c:separator>
            <c:showLeaderLines val="0"/>
          </c:dLbls>
          <c:xVal>
            <c:numRef>
              <c:f>1</c:f>
              <c:numCache>
                <c:formatCode>General</c:formatCode>
                <c:ptCount val="56"/>
                <c:pt idx="0">
                  <c:v>84.775151</c:v>
                </c:pt>
                <c:pt idx="1">
                  <c:v>148.358933</c:v>
                </c:pt>
                <c:pt idx="2">
                  <c:v>84.291616</c:v>
                </c:pt>
                <c:pt idx="3">
                  <c:v>65.81088</c:v>
                </c:pt>
                <c:pt idx="4">
                  <c:v>112.966885</c:v>
                </c:pt>
                <c:pt idx="5">
                  <c:v>67.855562</c:v>
                </c:pt>
                <c:pt idx="6">
                  <c:v>111.689618</c:v>
                </c:pt>
                <c:pt idx="7">
                  <c:v>63.449489</c:v>
                </c:pt>
                <c:pt idx="8">
                  <c:v>30.73283</c:v>
                </c:pt>
                <c:pt idx="9">
                  <c:v>46.300269</c:v>
                </c:pt>
                <c:pt idx="10">
                  <c:v>51.989877</c:v>
                </c:pt>
                <c:pt idx="11">
                  <c:v>28.028393</c:v>
                </c:pt>
                <c:pt idx="12">
                  <c:v>32.004539</c:v>
                </c:pt>
                <c:pt idx="13">
                  <c:v>43.620279</c:v>
                </c:pt>
                <c:pt idx="14">
                  <c:v>22.272767</c:v>
                </c:pt>
                <c:pt idx="15">
                  <c:v>39.571089</c:v>
                </c:pt>
                <c:pt idx="16">
                  <c:v>38.737877</c:v>
                </c:pt>
                <c:pt idx="17">
                  <c:v>53.757466</c:v>
                </c:pt>
                <c:pt idx="18">
                  <c:v>107.665847</c:v>
                </c:pt>
                <c:pt idx="19">
                  <c:v>93.201823</c:v>
                </c:pt>
                <c:pt idx="20">
                  <c:v>62.807792</c:v>
                </c:pt>
                <c:pt idx="21">
                  <c:v>120.846424</c:v>
                </c:pt>
                <c:pt idx="22">
                  <c:v>81.392656</c:v>
                </c:pt>
                <c:pt idx="23">
                  <c:v>86.699127</c:v>
                </c:pt>
                <c:pt idx="24">
                  <c:v>34.51103</c:v>
                </c:pt>
                <c:pt idx="25">
                  <c:v>68.804957</c:v>
                </c:pt>
                <c:pt idx="26">
                  <c:v>65.984809</c:v>
                </c:pt>
                <c:pt idx="27">
                  <c:v>45.858523</c:v>
                </c:pt>
                <c:pt idx="28">
                  <c:v>68.977249</c:v>
                </c:pt>
                <c:pt idx="29">
                  <c:v>70.191364</c:v>
                </c:pt>
                <c:pt idx="30">
                  <c:v>79.71054</c:v>
                </c:pt>
                <c:pt idx="31">
                  <c:v>68.195404</c:v>
                </c:pt>
                <c:pt idx="32">
                  <c:v>71.336053</c:v>
                </c:pt>
                <c:pt idx="33">
                  <c:v>69.819912</c:v>
                </c:pt>
                <c:pt idx="34">
                  <c:v>62.950716</c:v>
                </c:pt>
                <c:pt idx="35">
                  <c:v>53.650877</c:v>
                </c:pt>
                <c:pt idx="36">
                  <c:v>34.543808</c:v>
                </c:pt>
                <c:pt idx="37">
                  <c:v>51.299529</c:v>
                </c:pt>
                <c:pt idx="38">
                  <c:v>46.311193</c:v>
                </c:pt>
                <c:pt idx="39">
                  <c:v>44.914643</c:v>
                </c:pt>
                <c:pt idx="40">
                  <c:v>74.617597</c:v>
                </c:pt>
                <c:pt idx="41">
                  <c:v>74.254957</c:v>
                </c:pt>
                <c:pt idx="42">
                  <c:v>75.732372</c:v>
                </c:pt>
                <c:pt idx="43">
                  <c:v>45.007059</c:v>
                </c:pt>
                <c:pt idx="44">
                  <c:v>55.176607</c:v>
                </c:pt>
                <c:pt idx="45">
                  <c:v>37.659137</c:v>
                </c:pt>
                <c:pt idx="46">
                  <c:v>56.204517</c:v>
                </c:pt>
                <c:pt idx="47">
                  <c:v>113.438967</c:v>
                </c:pt>
                <c:pt idx="48">
                  <c:v>82.293908</c:v>
                </c:pt>
                <c:pt idx="49">
                  <c:v>42.34331</c:v>
                </c:pt>
                <c:pt idx="50">
                  <c:v>44.640727</c:v>
                </c:pt>
                <c:pt idx="51">
                  <c:v>68.025372</c:v>
                </c:pt>
                <c:pt idx="52">
                  <c:v>110.902276</c:v>
                </c:pt>
                <c:pt idx="53">
                  <c:v>137.506219</c:v>
                </c:pt>
                <c:pt idx="54">
                  <c:v>35.941884</c:v>
                </c:pt>
                <c:pt idx="55">
                  <c:v>85.46726</c:v>
                </c:pt>
              </c:numCache>
            </c:numRef>
          </c:xVal>
          <c:yVal>
            <c:numRef>
              <c:f>0</c:f>
              <c:numCache>
                <c:formatCode>General</c:formatCode>
                <c:ptCount val="56"/>
                <c:pt idx="0">
                  <c:v>-17.9930557847108</c:v>
                </c:pt>
                <c:pt idx="1">
                  <c:v>-47.3000534641466</c:v>
                </c:pt>
                <c:pt idx="2">
                  <c:v>6.10794274105993</c:v>
                </c:pt>
                <c:pt idx="3">
                  <c:v>6.56830394471438</c:v>
                </c:pt>
                <c:pt idx="4">
                  <c:v>-34.3303646010607</c:v>
                </c:pt>
                <c:pt idx="5">
                  <c:v>7.7184848354307</c:v>
                </c:pt>
                <c:pt idx="6">
                  <c:v>-41.6625897425779</c:v>
                </c:pt>
                <c:pt idx="7">
                  <c:v>10.432669105969</c:v>
                </c:pt>
                <c:pt idx="8">
                  <c:v>76.7487732979285</c:v>
                </c:pt>
                <c:pt idx="9">
                  <c:v>158.443057926806</c:v>
                </c:pt>
                <c:pt idx="10">
                  <c:v>21.2167991524319</c:v>
                </c:pt>
                <c:pt idx="11">
                  <c:v>63.0957516285285</c:v>
                </c:pt>
                <c:pt idx="12">
                  <c:v>-140.358585157651</c:v>
                </c:pt>
                <c:pt idx="13">
                  <c:v>45.7677988111123</c:v>
                </c:pt>
                <c:pt idx="14">
                  <c:v>163.131863945568</c:v>
                </c:pt>
                <c:pt idx="15">
                  <c:v>19.1901032748421</c:v>
                </c:pt>
                <c:pt idx="16">
                  <c:v>3.60573343734071</c:v>
                </c:pt>
                <c:pt idx="17">
                  <c:v>14.6362387772466</c:v>
                </c:pt>
                <c:pt idx="18">
                  <c:v>-22.2647433060033</c:v>
                </c:pt>
                <c:pt idx="19">
                  <c:v>-14.0606378292541</c:v>
                </c:pt>
                <c:pt idx="20">
                  <c:v>-0.41149442941162</c:v>
                </c:pt>
                <c:pt idx="21">
                  <c:v>-11.2603865931399</c:v>
                </c:pt>
                <c:pt idx="22">
                  <c:v>-12.3601001586146</c:v>
                </c:pt>
                <c:pt idx="23">
                  <c:v>11.7180095793398</c:v>
                </c:pt>
                <c:pt idx="24">
                  <c:v>27.4441699265914</c:v>
                </c:pt>
                <c:pt idx="25">
                  <c:v>2.32865937939683</c:v>
                </c:pt>
                <c:pt idx="26">
                  <c:v>26.4894247545224</c:v>
                </c:pt>
                <c:pt idx="27">
                  <c:v>44.3684603087087</c:v>
                </c:pt>
                <c:pt idx="28">
                  <c:v>4.00334337614779</c:v>
                </c:pt>
                <c:pt idx="29">
                  <c:v>-9.7335057759821</c:v>
                </c:pt>
                <c:pt idx="30">
                  <c:v>-2.36923670557386</c:v>
                </c:pt>
                <c:pt idx="31">
                  <c:v>12.354486721143</c:v>
                </c:pt>
                <c:pt idx="32">
                  <c:v>-8.85162967113154</c:v>
                </c:pt>
                <c:pt idx="33">
                  <c:v>-5.17713116651443</c:v>
                </c:pt>
                <c:pt idx="34">
                  <c:v>-4.44328999691292</c:v>
                </c:pt>
                <c:pt idx="35">
                  <c:v>18.3783484460463</c:v>
                </c:pt>
                <c:pt idx="36">
                  <c:v>27.7667466183121</c:v>
                </c:pt>
                <c:pt idx="37">
                  <c:v>17.0513517414217</c:v>
                </c:pt>
                <c:pt idx="38">
                  <c:v>14.1541503278276</c:v>
                </c:pt>
                <c:pt idx="39">
                  <c:v>0.252993229831052</c:v>
                </c:pt>
                <c:pt idx="40">
                  <c:v>-9.38584878868714</c:v>
                </c:pt>
                <c:pt idx="41">
                  <c:v>-16.7192996371961</c:v>
                </c:pt>
                <c:pt idx="42">
                  <c:v>-15.6413044025853</c:v>
                </c:pt>
                <c:pt idx="43">
                  <c:v>32.9108058343377</c:v>
                </c:pt>
                <c:pt idx="44">
                  <c:v>-0.0161403254338907</c:v>
                </c:pt>
                <c:pt idx="45">
                  <c:v>35.3633807450788</c:v>
                </c:pt>
                <c:pt idx="46">
                  <c:v>-10.2264426338753</c:v>
                </c:pt>
                <c:pt idx="47">
                  <c:v>4.42166654294088</c:v>
                </c:pt>
                <c:pt idx="48">
                  <c:v>-45.4748948936637</c:v>
                </c:pt>
                <c:pt idx="49">
                  <c:v>24.8512430318517</c:v>
                </c:pt>
                <c:pt idx="50">
                  <c:v>23.4972836484614</c:v>
                </c:pt>
                <c:pt idx="51">
                  <c:v>-2.67566111154078</c:v>
                </c:pt>
                <c:pt idx="52">
                  <c:v>-28.0775867889741</c:v>
                </c:pt>
                <c:pt idx="53">
                  <c:v>-44.1636376626187</c:v>
                </c:pt>
                <c:pt idx="54">
                  <c:v>17.2584606621352</c:v>
                </c:pt>
                <c:pt idx="55">
                  <c:v>-20.805546373337</c:v>
                </c:pt>
              </c:numCache>
            </c:numRef>
          </c:yVal>
          <c:smooth val="0"/>
        </c:ser>
        <c:axId val="20093941"/>
        <c:axId val="54919085"/>
      </c:scatterChart>
      <c:valAx>
        <c:axId val="20093941"/>
        <c:scaling>
          <c:orientation val="minMax"/>
          <c:max val="160"/>
          <c:min val="0"/>
        </c:scaling>
        <c:delete val="0"/>
        <c:axPos val="b"/>
        <c:title>
          <c:tx>
            <c:rich>
              <a:bodyPr rot="0"/>
              <a:lstStyle/>
              <a:p>
                <a:pPr>
                  <a:defRPr b="0" sz="1200" spc="-1" strike="noStrike">
                    <a:solidFill>
                      <a:srgbClr val="000000"/>
                    </a:solidFill>
                    <a:latin typeface="Times New Roman"/>
                  </a:defRPr>
                </a:pPr>
                <a:r>
                  <a:rPr b="0" sz="1200" spc="-1" strike="noStrike">
                    <a:solidFill>
                      <a:srgbClr val="000000"/>
                    </a:solidFill>
                    <a:latin typeface="Times New Roman"/>
                  </a:rPr>
                  <a:t>Volume por parcela observado (m3/ha)</a:t>
                </a:r>
              </a:p>
            </c:rich>
          </c:tx>
          <c:overlay val="0"/>
          <c:spPr>
            <a:noFill/>
            <a:ln>
              <a:noFill/>
            </a:ln>
          </c:spPr>
        </c:title>
        <c:numFmt formatCode="#,##0" sourceLinked="0"/>
        <c:majorTickMark val="out"/>
        <c:minorTickMark val="none"/>
        <c:tickLblPos val="nextTo"/>
        <c:spPr>
          <a:ln w="9360">
            <a:solidFill>
              <a:srgbClr val="878787"/>
            </a:solidFill>
            <a:round/>
          </a:ln>
        </c:spPr>
        <c:txPr>
          <a:bodyPr/>
          <a:lstStyle/>
          <a:p>
            <a:pPr>
              <a:defRPr b="0" sz="1200" spc="-1" strike="noStrike">
                <a:solidFill>
                  <a:srgbClr val="000000"/>
                </a:solidFill>
                <a:latin typeface="Times New Roman"/>
              </a:defRPr>
            </a:pPr>
          </a:p>
        </c:txPr>
        <c:crossAx val="54919085"/>
        <c:crosses val="autoZero"/>
        <c:crossBetween val="midCat"/>
        <c:majorUnit val="20"/>
      </c:valAx>
      <c:valAx>
        <c:axId val="54919085"/>
        <c:scaling>
          <c:orientation val="minMax"/>
          <c:max val="100"/>
          <c:min val="-100"/>
        </c:scaling>
        <c:delete val="0"/>
        <c:axPos val="l"/>
        <c:title>
          <c:tx>
            <c:rich>
              <a:bodyPr rot="-5400000"/>
              <a:lstStyle/>
              <a:p>
                <a:pPr>
                  <a:defRPr b="0" sz="1200" spc="-1" strike="noStrike">
                    <a:solidFill>
                      <a:srgbClr val="000000"/>
                    </a:solidFill>
                    <a:latin typeface="Times New Roman"/>
                  </a:defRPr>
                </a:pPr>
                <a:r>
                  <a:rPr b="0" sz="1200" spc="-1" strike="noStrike">
                    <a:solidFill>
                      <a:srgbClr val="000000"/>
                    </a:solidFill>
                    <a:latin typeface="Times New Roman"/>
                  </a:rPr>
                  <a:t>Erro (%)</a:t>
                </a:r>
              </a:p>
            </c:rich>
          </c:tx>
          <c:overlay val="0"/>
          <c:spPr>
            <a:noFill/>
            <a:ln>
              <a:noFill/>
            </a:ln>
          </c:spPr>
        </c:title>
        <c:numFmt formatCode="#,##0" sourceLinked="0"/>
        <c:majorTickMark val="out"/>
        <c:minorTickMark val="out"/>
        <c:tickLblPos val="nextTo"/>
        <c:spPr>
          <a:ln w="9360">
            <a:solidFill>
              <a:srgbClr val="878787"/>
            </a:solidFill>
            <a:round/>
          </a:ln>
        </c:spPr>
        <c:txPr>
          <a:bodyPr/>
          <a:lstStyle/>
          <a:p>
            <a:pPr>
              <a:defRPr b="0" sz="1200" spc="-1" strike="noStrike">
                <a:solidFill>
                  <a:srgbClr val="000000"/>
                </a:solidFill>
                <a:latin typeface="Times New Roman"/>
              </a:defRPr>
            </a:pPr>
          </a:p>
        </c:txPr>
        <c:crossAx val="20093941"/>
        <c:crosses val="autoZero"/>
        <c:crossBetween val="midCat"/>
        <c:majorUnit val="20"/>
        <c:minorUnit val="10"/>
      </c:valAx>
      <c:spPr>
        <a:solidFill>
          <a:srgbClr val="ffffff"/>
        </a:solidFill>
        <a:ln>
          <a:noFill/>
        </a:ln>
      </c:spPr>
    </c:plotArea>
    <c:plotVisOnly val="1"/>
    <c:dispBlanksAs val="gap"/>
  </c:chart>
  <c:spPr>
    <a:solidFill>
      <a:srgbClr val="ffffff"/>
    </a:solidFill>
    <a:ln w="936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000000"/>
                </a:solidFill>
                <a:latin typeface="Times New Roman"/>
              </a:defRPr>
            </a:pPr>
            <a:r>
              <a:rPr b="0" sz="1200" spc="-1" strike="noStrike">
                <a:solidFill>
                  <a:srgbClr val="000000"/>
                </a:solidFill>
                <a:latin typeface="Times New Roman"/>
              </a:rPr>
              <a:t>Landsat 5 / TM
03/07/2009</a:t>
            </a:r>
          </a:p>
        </c:rich>
      </c:tx>
      <c:overlay val="0"/>
      <c:spPr>
        <a:noFill/>
        <a:ln>
          <a:noFill/>
        </a:ln>
      </c:spPr>
    </c:title>
    <c:autoTitleDeleted val="0"/>
    <c:plotArea>
      <c:scatterChart>
        <c:scatterStyle val="lineMarker"/>
        <c:varyColors val="0"/>
        <c:ser>
          <c:idx val="0"/>
          <c:order val="0"/>
          <c:tx>
            <c:strRef>
              <c:f>label 0</c:f>
              <c:strCache>
                <c:ptCount val="1"/>
                <c:pt idx="0">
                  <c:v>Série sem nome 2</c:v>
                </c:pt>
              </c:strCache>
            </c:strRef>
          </c:tx>
          <c:spPr>
            <a:solidFill>
              <a:srgbClr val="000000"/>
            </a:solidFill>
            <a:ln w="28440">
              <a:noFill/>
            </a:ln>
          </c:spPr>
          <c:marker>
            <c:symbol val="circle"/>
            <c:size val="4"/>
            <c:spPr>
              <a:solidFill>
                <a:srgbClr val="000000"/>
              </a:solidFill>
            </c:spPr>
          </c:marker>
          <c:dLbls>
            <c:numFmt formatCode="General" sourceLinked="1"/>
            <c:txPr>
              <a:bodyPr/>
              <a:lstStyle/>
              <a:p>
                <a:pPr>
                  <a:defRPr b="0" sz="1200" spc="-1" strike="noStrike">
                    <a:solidFill>
                      <a:srgbClr val="000000"/>
                    </a:solidFill>
                    <a:latin typeface="Times New Roman"/>
                  </a:defRPr>
                </a:pPr>
              </a:p>
            </c:txPr>
            <c:dLblPos val="r"/>
            <c:showLegendKey val="0"/>
            <c:showVal val="0"/>
            <c:showCatName val="0"/>
            <c:showSerName val="0"/>
            <c:showPercent val="0"/>
            <c:separator>; </c:separator>
            <c:showLeaderLines val="0"/>
          </c:dLbls>
          <c:xVal>
            <c:numRef>
              <c:f>1</c:f>
              <c:numCache>
                <c:formatCode>General</c:formatCode>
                <c:ptCount val="56"/>
                <c:pt idx="0">
                  <c:v>120.193843</c:v>
                </c:pt>
                <c:pt idx="1">
                  <c:v>84.775151</c:v>
                </c:pt>
                <c:pt idx="2">
                  <c:v>144.664899</c:v>
                </c:pt>
                <c:pt idx="3">
                  <c:v>152.816229</c:v>
                </c:pt>
                <c:pt idx="4">
                  <c:v>104.837992</c:v>
                </c:pt>
                <c:pt idx="5">
                  <c:v>84.291616</c:v>
                </c:pt>
                <c:pt idx="6">
                  <c:v>65.81088</c:v>
                </c:pt>
                <c:pt idx="7">
                  <c:v>89.406432</c:v>
                </c:pt>
                <c:pt idx="8">
                  <c:v>86.973736</c:v>
                </c:pt>
                <c:pt idx="9">
                  <c:v>81.896448</c:v>
                </c:pt>
                <c:pt idx="10">
                  <c:v>67.99331</c:v>
                </c:pt>
                <c:pt idx="11">
                  <c:v>63.585633</c:v>
                </c:pt>
                <c:pt idx="12">
                  <c:v>53.919322</c:v>
                </c:pt>
                <c:pt idx="13">
                  <c:v>46.300269</c:v>
                </c:pt>
                <c:pt idx="14">
                  <c:v>74.046195</c:v>
                </c:pt>
                <c:pt idx="15">
                  <c:v>36.40259</c:v>
                </c:pt>
                <c:pt idx="16">
                  <c:v>59.164248</c:v>
                </c:pt>
                <c:pt idx="17">
                  <c:v>32.20573</c:v>
                </c:pt>
                <c:pt idx="18">
                  <c:v>37.288367</c:v>
                </c:pt>
                <c:pt idx="19">
                  <c:v>33.73878</c:v>
                </c:pt>
                <c:pt idx="20">
                  <c:v>55.911465</c:v>
                </c:pt>
                <c:pt idx="21">
                  <c:v>44.245238</c:v>
                </c:pt>
                <c:pt idx="22">
                  <c:v>39.571089</c:v>
                </c:pt>
                <c:pt idx="23">
                  <c:v>61.856136</c:v>
                </c:pt>
                <c:pt idx="24">
                  <c:v>93.201823</c:v>
                </c:pt>
                <c:pt idx="25">
                  <c:v>71.097294</c:v>
                </c:pt>
                <c:pt idx="26">
                  <c:v>70.184847</c:v>
                </c:pt>
                <c:pt idx="27">
                  <c:v>81.392656</c:v>
                </c:pt>
                <c:pt idx="28">
                  <c:v>86.699127</c:v>
                </c:pt>
                <c:pt idx="29">
                  <c:v>78.38239</c:v>
                </c:pt>
                <c:pt idx="30">
                  <c:v>63.476121</c:v>
                </c:pt>
                <c:pt idx="31">
                  <c:v>59.415793</c:v>
                </c:pt>
                <c:pt idx="32">
                  <c:v>80.166995</c:v>
                </c:pt>
                <c:pt idx="33">
                  <c:v>68.804957</c:v>
                </c:pt>
                <c:pt idx="34">
                  <c:v>103.058439</c:v>
                </c:pt>
                <c:pt idx="35">
                  <c:v>32.915079</c:v>
                </c:pt>
                <c:pt idx="36">
                  <c:v>70.191364</c:v>
                </c:pt>
                <c:pt idx="37">
                  <c:v>77.810093</c:v>
                </c:pt>
                <c:pt idx="38">
                  <c:v>68.496768</c:v>
                </c:pt>
                <c:pt idx="39">
                  <c:v>64.894329</c:v>
                </c:pt>
                <c:pt idx="40">
                  <c:v>34.543808</c:v>
                </c:pt>
                <c:pt idx="41">
                  <c:v>63.666247</c:v>
                </c:pt>
                <c:pt idx="42">
                  <c:v>56.530834</c:v>
                </c:pt>
                <c:pt idx="43">
                  <c:v>74.617597</c:v>
                </c:pt>
                <c:pt idx="44">
                  <c:v>52.662889</c:v>
                </c:pt>
                <c:pt idx="45">
                  <c:v>59.90428</c:v>
                </c:pt>
                <c:pt idx="46">
                  <c:v>47.803052</c:v>
                </c:pt>
                <c:pt idx="47">
                  <c:v>56.204517</c:v>
                </c:pt>
                <c:pt idx="48">
                  <c:v>82.293908</c:v>
                </c:pt>
                <c:pt idx="49">
                  <c:v>84.537385</c:v>
                </c:pt>
                <c:pt idx="50">
                  <c:v>44.640727</c:v>
                </c:pt>
                <c:pt idx="51">
                  <c:v>56.509673</c:v>
                </c:pt>
                <c:pt idx="52">
                  <c:v>113.335721</c:v>
                </c:pt>
                <c:pt idx="53">
                  <c:v>119.942306</c:v>
                </c:pt>
                <c:pt idx="54">
                  <c:v>110.902276</c:v>
                </c:pt>
                <c:pt idx="55">
                  <c:v>51.716977</c:v>
                </c:pt>
              </c:numCache>
            </c:numRef>
          </c:xVal>
          <c:yVal>
            <c:numRef>
              <c:f>0</c:f>
              <c:numCache>
                <c:formatCode>General</c:formatCode>
                <c:ptCount val="56"/>
                <c:pt idx="0">
                  <c:v>-50.1685400046614</c:v>
                </c:pt>
                <c:pt idx="1">
                  <c:v>-29.0921813945004</c:v>
                </c:pt>
                <c:pt idx="2">
                  <c:v>4.13466341670458</c:v>
                </c:pt>
                <c:pt idx="3">
                  <c:v>-6.33222334925479</c:v>
                </c:pt>
                <c:pt idx="4">
                  <c:v>-48.9183625946266</c:v>
                </c:pt>
                <c:pt idx="5">
                  <c:v>-19.0901849375634</c:v>
                </c:pt>
                <c:pt idx="6">
                  <c:v>3.63057083986597</c:v>
                </c:pt>
                <c:pt idx="7">
                  <c:v>-43.6755902404039</c:v>
                </c:pt>
                <c:pt idx="8">
                  <c:v>-0.881313321743731</c:v>
                </c:pt>
                <c:pt idx="9">
                  <c:v>-18.6717975296492</c:v>
                </c:pt>
                <c:pt idx="10">
                  <c:v>0.729877564844523</c:v>
                </c:pt>
                <c:pt idx="11">
                  <c:v>7.19771224000269</c:v>
                </c:pt>
                <c:pt idx="12">
                  <c:v>27.0223277571724</c:v>
                </c:pt>
                <c:pt idx="13">
                  <c:v>-16.2183771327447</c:v>
                </c:pt>
                <c:pt idx="14">
                  <c:v>-10.2626854823812</c:v>
                </c:pt>
                <c:pt idx="15">
                  <c:v>71.2005565123788</c:v>
                </c:pt>
                <c:pt idx="16">
                  <c:v>-2.72549782138921</c:v>
                </c:pt>
                <c:pt idx="17">
                  <c:v>124.178705942845</c:v>
                </c:pt>
                <c:pt idx="18">
                  <c:v>19.8567189843974</c:v>
                </c:pt>
                <c:pt idx="19">
                  <c:v>37.1381295177176</c:v>
                </c:pt>
                <c:pt idx="20">
                  <c:v>29.1298461835093</c:v>
                </c:pt>
                <c:pt idx="21">
                  <c:v>31.8425701500246</c:v>
                </c:pt>
                <c:pt idx="22">
                  <c:v>49.7576931504699</c:v>
                </c:pt>
                <c:pt idx="23">
                  <c:v>-6.45144287465416</c:v>
                </c:pt>
                <c:pt idx="24">
                  <c:v>-36.3028986935978</c:v>
                </c:pt>
                <c:pt idx="25">
                  <c:v>-5.82020488392321</c:v>
                </c:pt>
                <c:pt idx="26">
                  <c:v>-3.97393269331047</c:v>
                </c:pt>
                <c:pt idx="27">
                  <c:v>-21.2617264946564</c:v>
                </c:pt>
                <c:pt idx="28">
                  <c:v>-45.7837080473711</c:v>
                </c:pt>
                <c:pt idx="29">
                  <c:v>-11.8748335252154</c:v>
                </c:pt>
                <c:pt idx="30">
                  <c:v>-6.57156832061833</c:v>
                </c:pt>
                <c:pt idx="31">
                  <c:v>-0.18690091167067</c:v>
                </c:pt>
                <c:pt idx="32">
                  <c:v>-19.6703343112079</c:v>
                </c:pt>
                <c:pt idx="33">
                  <c:v>-1.01467072118984</c:v>
                </c:pt>
                <c:pt idx="34">
                  <c:v>-44.1562202298458</c:v>
                </c:pt>
                <c:pt idx="35">
                  <c:v>61.5407142067137</c:v>
                </c:pt>
                <c:pt idx="36">
                  <c:v>-4.29612170942196</c:v>
                </c:pt>
                <c:pt idx="37">
                  <c:v>-17.0561679752345</c:v>
                </c:pt>
                <c:pt idx="38">
                  <c:v>-0.880093669843817</c:v>
                </c:pt>
                <c:pt idx="39">
                  <c:v>3.96641508462774</c:v>
                </c:pt>
                <c:pt idx="40">
                  <c:v>85.192735216763</c:v>
                </c:pt>
                <c:pt idx="41">
                  <c:v>-8.03297473369493</c:v>
                </c:pt>
                <c:pt idx="42">
                  <c:v>5.1469724538593</c:v>
                </c:pt>
                <c:pt idx="43">
                  <c:v>-14.9935859080081</c:v>
                </c:pt>
                <c:pt idx="44">
                  <c:v>24.7191869005039</c:v>
                </c:pt>
                <c:pt idx="45">
                  <c:v>-3.92718565398217</c:v>
                </c:pt>
                <c:pt idx="46">
                  <c:v>22.0299886881602</c:v>
                </c:pt>
                <c:pt idx="47">
                  <c:v>22.5582458524369</c:v>
                </c:pt>
                <c:pt idx="48">
                  <c:v>-15.5608075063092</c:v>
                </c:pt>
                <c:pt idx="49">
                  <c:v>-24.9373191978318</c:v>
                </c:pt>
                <c:pt idx="50">
                  <c:v>56.7281883392704</c:v>
                </c:pt>
                <c:pt idx="51">
                  <c:v>20.2290562391779</c:v>
                </c:pt>
                <c:pt idx="52">
                  <c:v>26.1578262862422</c:v>
                </c:pt>
                <c:pt idx="53">
                  <c:v>19.423593539336</c:v>
                </c:pt>
                <c:pt idx="54">
                  <c:v>5.51948548025189</c:v>
                </c:pt>
                <c:pt idx="55">
                  <c:v>6.36651816640048</c:v>
                </c:pt>
              </c:numCache>
            </c:numRef>
          </c:yVal>
          <c:smooth val="0"/>
        </c:ser>
        <c:axId val="94999626"/>
        <c:axId val="25647976"/>
      </c:scatterChart>
      <c:valAx>
        <c:axId val="94999626"/>
        <c:scaling>
          <c:orientation val="minMax"/>
          <c:max val="160"/>
          <c:min val="0"/>
        </c:scaling>
        <c:delete val="0"/>
        <c:axPos val="b"/>
        <c:title>
          <c:tx>
            <c:rich>
              <a:bodyPr rot="0"/>
              <a:lstStyle/>
              <a:p>
                <a:pPr>
                  <a:defRPr b="0" sz="1200" spc="-1" strike="noStrike">
                    <a:solidFill>
                      <a:srgbClr val="000000"/>
                    </a:solidFill>
                    <a:latin typeface="Times New Roman"/>
                  </a:defRPr>
                </a:pPr>
                <a:r>
                  <a:rPr b="0" sz="1200" spc="-1" strike="noStrike">
                    <a:solidFill>
                      <a:srgbClr val="000000"/>
                    </a:solidFill>
                    <a:latin typeface="Times New Roman"/>
                  </a:rPr>
                  <a:t>Volume por parcela observado (m3/ha)</a:t>
                </a:r>
              </a:p>
            </c:rich>
          </c:tx>
          <c:overlay val="0"/>
          <c:spPr>
            <a:noFill/>
            <a:ln>
              <a:noFill/>
            </a:ln>
          </c:spPr>
        </c:title>
        <c:numFmt formatCode="#,##0" sourceLinked="0"/>
        <c:majorTickMark val="out"/>
        <c:minorTickMark val="none"/>
        <c:tickLblPos val="nextTo"/>
        <c:spPr>
          <a:ln w="9360">
            <a:solidFill>
              <a:srgbClr val="878787"/>
            </a:solidFill>
            <a:round/>
          </a:ln>
        </c:spPr>
        <c:txPr>
          <a:bodyPr/>
          <a:lstStyle/>
          <a:p>
            <a:pPr>
              <a:defRPr b="0" sz="1200" spc="-1" strike="noStrike">
                <a:solidFill>
                  <a:srgbClr val="000000"/>
                </a:solidFill>
                <a:latin typeface="Times New Roman"/>
              </a:defRPr>
            </a:pPr>
          </a:p>
        </c:txPr>
        <c:crossAx val="25647976"/>
        <c:crosses val="autoZero"/>
        <c:crossBetween val="midCat"/>
        <c:majorUnit val="20"/>
      </c:valAx>
      <c:valAx>
        <c:axId val="25647976"/>
        <c:scaling>
          <c:orientation val="minMax"/>
          <c:max val="100"/>
          <c:min val="-100"/>
        </c:scaling>
        <c:delete val="0"/>
        <c:axPos val="l"/>
        <c:title>
          <c:tx>
            <c:rich>
              <a:bodyPr rot="-5400000"/>
              <a:lstStyle/>
              <a:p>
                <a:pPr>
                  <a:defRPr b="0" sz="1200" spc="-1" strike="noStrike">
                    <a:solidFill>
                      <a:srgbClr val="000000"/>
                    </a:solidFill>
                    <a:latin typeface="Times New Roman"/>
                  </a:defRPr>
                </a:pPr>
                <a:r>
                  <a:rPr b="0" sz="1200" spc="-1" strike="noStrike">
                    <a:solidFill>
                      <a:srgbClr val="000000"/>
                    </a:solidFill>
                    <a:latin typeface="Times New Roman"/>
                  </a:rPr>
                  <a:t>Erro (%)</a:t>
                </a:r>
              </a:p>
            </c:rich>
          </c:tx>
          <c:overlay val="0"/>
          <c:spPr>
            <a:noFill/>
            <a:ln>
              <a:noFill/>
            </a:ln>
          </c:spPr>
        </c:title>
        <c:numFmt formatCode="#,##0" sourceLinked="0"/>
        <c:majorTickMark val="out"/>
        <c:minorTickMark val="out"/>
        <c:tickLblPos val="nextTo"/>
        <c:spPr>
          <a:ln w="9360">
            <a:solidFill>
              <a:srgbClr val="878787"/>
            </a:solidFill>
            <a:round/>
          </a:ln>
        </c:spPr>
        <c:txPr>
          <a:bodyPr/>
          <a:lstStyle/>
          <a:p>
            <a:pPr>
              <a:defRPr b="0" sz="1200" spc="-1" strike="noStrike">
                <a:solidFill>
                  <a:srgbClr val="000000"/>
                </a:solidFill>
                <a:latin typeface="Times New Roman"/>
              </a:defRPr>
            </a:pPr>
          </a:p>
        </c:txPr>
        <c:crossAx val="94999626"/>
        <c:crosses val="autoZero"/>
        <c:crossBetween val="midCat"/>
        <c:majorUnit val="20"/>
        <c:minorUnit val="10"/>
      </c:valAx>
      <c:spPr>
        <a:solidFill>
          <a:srgbClr val="ffffff"/>
        </a:solidFill>
        <a:ln>
          <a:noFill/>
        </a:ln>
      </c:spPr>
    </c:plotArea>
    <c:plotVisOnly val="1"/>
    <c:dispBlanksAs val="gap"/>
  </c:chart>
  <c:spPr>
    <a:solidFill>
      <a:srgbClr val="ffffff"/>
    </a:solidFill>
    <a:ln w="936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000000"/>
                </a:solidFill>
                <a:latin typeface="Times New Roman"/>
              </a:defRPr>
            </a:pPr>
            <a:r>
              <a:rPr b="0" sz="1200" spc="-1" strike="noStrike">
                <a:solidFill>
                  <a:srgbClr val="000000"/>
                </a:solidFill>
                <a:latin typeface="Times New Roman"/>
              </a:rPr>
              <a:t>Landsat 5 / TM
20/06/2010</a:t>
            </a:r>
          </a:p>
        </c:rich>
      </c:tx>
      <c:overlay val="0"/>
      <c:spPr>
        <a:noFill/>
        <a:ln>
          <a:noFill/>
        </a:ln>
      </c:spPr>
    </c:title>
    <c:autoTitleDeleted val="0"/>
    <c:plotArea>
      <c:scatterChart>
        <c:scatterStyle val="lineMarker"/>
        <c:varyColors val="0"/>
        <c:ser>
          <c:idx val="0"/>
          <c:order val="0"/>
          <c:tx>
            <c:strRef>
              <c:f>label 0</c:f>
              <c:strCache>
                <c:ptCount val="1"/>
                <c:pt idx="0">
                  <c:v>Série sem nome 2</c:v>
                </c:pt>
              </c:strCache>
            </c:strRef>
          </c:tx>
          <c:spPr>
            <a:solidFill>
              <a:srgbClr val="000000"/>
            </a:solidFill>
            <a:ln w="28440">
              <a:noFill/>
            </a:ln>
          </c:spPr>
          <c:marker>
            <c:symbol val="circle"/>
            <c:size val="4"/>
            <c:spPr>
              <a:solidFill>
                <a:srgbClr val="000000"/>
              </a:solidFill>
            </c:spPr>
          </c:marker>
          <c:dLbls>
            <c:numFmt formatCode="General" sourceLinked="1"/>
            <c:txPr>
              <a:bodyPr/>
              <a:lstStyle/>
              <a:p>
                <a:pPr>
                  <a:defRPr b="0" sz="1200" spc="-1" strike="noStrike">
                    <a:solidFill>
                      <a:srgbClr val="000000"/>
                    </a:solidFill>
                    <a:latin typeface="Times New Roman"/>
                  </a:defRPr>
                </a:pPr>
              </a:p>
            </c:txPr>
            <c:dLblPos val="r"/>
            <c:showLegendKey val="0"/>
            <c:showVal val="0"/>
            <c:showCatName val="0"/>
            <c:showSerName val="0"/>
            <c:showPercent val="0"/>
            <c:separator>; </c:separator>
            <c:showLeaderLines val="0"/>
          </c:dLbls>
          <c:xVal>
            <c:numRef>
              <c:f>1</c:f>
              <c:numCache>
                <c:formatCode>General</c:formatCode>
                <c:ptCount val="56"/>
                <c:pt idx="0">
                  <c:v>76.896064</c:v>
                </c:pt>
                <c:pt idx="1">
                  <c:v>113.74286</c:v>
                </c:pt>
                <c:pt idx="2">
                  <c:v>49.541566</c:v>
                </c:pt>
                <c:pt idx="3">
                  <c:v>66.445352</c:v>
                </c:pt>
                <c:pt idx="4">
                  <c:v>51.22506</c:v>
                </c:pt>
                <c:pt idx="5">
                  <c:v>43.974161</c:v>
                </c:pt>
                <c:pt idx="6">
                  <c:v>69.648678</c:v>
                </c:pt>
                <c:pt idx="7">
                  <c:v>87.404685</c:v>
                </c:pt>
                <c:pt idx="8">
                  <c:v>60.488646</c:v>
                </c:pt>
                <c:pt idx="9">
                  <c:v>62.349589</c:v>
                </c:pt>
                <c:pt idx="10">
                  <c:v>26.111101</c:v>
                </c:pt>
                <c:pt idx="11">
                  <c:v>33.290353</c:v>
                </c:pt>
                <c:pt idx="12">
                  <c:v>47.740878</c:v>
                </c:pt>
                <c:pt idx="13">
                  <c:v>24.244575</c:v>
                </c:pt>
                <c:pt idx="14">
                  <c:v>21.029531</c:v>
                </c:pt>
                <c:pt idx="15">
                  <c:v>25.922546</c:v>
                </c:pt>
                <c:pt idx="16">
                  <c:v>31.831424</c:v>
                </c:pt>
                <c:pt idx="17">
                  <c:v>54.180688</c:v>
                </c:pt>
                <c:pt idx="18">
                  <c:v>38.237296</c:v>
                </c:pt>
                <c:pt idx="19">
                  <c:v>32.666782</c:v>
                </c:pt>
                <c:pt idx="20">
                  <c:v>33.605742</c:v>
                </c:pt>
                <c:pt idx="21">
                  <c:v>7.81697</c:v>
                </c:pt>
                <c:pt idx="22">
                  <c:v>52.204329</c:v>
                </c:pt>
                <c:pt idx="23">
                  <c:v>39.342236</c:v>
                </c:pt>
                <c:pt idx="24">
                  <c:v>29.219099</c:v>
                </c:pt>
                <c:pt idx="25">
                  <c:v>59.393109</c:v>
                </c:pt>
                <c:pt idx="26">
                  <c:v>60.085414</c:v>
                </c:pt>
                <c:pt idx="27">
                  <c:v>43.431895</c:v>
                </c:pt>
                <c:pt idx="28">
                  <c:v>47.781722</c:v>
                </c:pt>
                <c:pt idx="29">
                  <c:v>40.230035</c:v>
                </c:pt>
                <c:pt idx="30">
                  <c:v>35.323623</c:v>
                </c:pt>
                <c:pt idx="31">
                  <c:v>64.566004</c:v>
                </c:pt>
                <c:pt idx="32">
                  <c:v>51.79561</c:v>
                </c:pt>
                <c:pt idx="33">
                  <c:v>50.073848</c:v>
                </c:pt>
                <c:pt idx="34">
                  <c:v>53.325676</c:v>
                </c:pt>
                <c:pt idx="35">
                  <c:v>35.594192</c:v>
                </c:pt>
                <c:pt idx="36">
                  <c:v>35.986984</c:v>
                </c:pt>
                <c:pt idx="37">
                  <c:v>45.285281</c:v>
                </c:pt>
                <c:pt idx="38">
                  <c:v>42.184651</c:v>
                </c:pt>
                <c:pt idx="39">
                  <c:v>34.931626</c:v>
                </c:pt>
                <c:pt idx="40">
                  <c:v>44.457759</c:v>
                </c:pt>
                <c:pt idx="41">
                  <c:v>35.472116</c:v>
                </c:pt>
                <c:pt idx="42">
                  <c:v>32.929085</c:v>
                </c:pt>
                <c:pt idx="43">
                  <c:v>58.850322</c:v>
                </c:pt>
                <c:pt idx="44">
                  <c:v>51.895949</c:v>
                </c:pt>
                <c:pt idx="45">
                  <c:v>46.194488</c:v>
                </c:pt>
                <c:pt idx="46">
                  <c:v>55.414919</c:v>
                </c:pt>
                <c:pt idx="47">
                  <c:v>53.311833</c:v>
                </c:pt>
                <c:pt idx="48">
                  <c:v>48.283809</c:v>
                </c:pt>
                <c:pt idx="49">
                  <c:v>27.507283</c:v>
                </c:pt>
                <c:pt idx="50">
                  <c:v>28.526404</c:v>
                </c:pt>
                <c:pt idx="51">
                  <c:v>23.985374</c:v>
                </c:pt>
                <c:pt idx="52">
                  <c:v>34.305841</c:v>
                </c:pt>
                <c:pt idx="53">
                  <c:v>63.35014</c:v>
                </c:pt>
                <c:pt idx="54">
                  <c:v>87.695712</c:v>
                </c:pt>
                <c:pt idx="55">
                  <c:v>72.743324</c:v>
                </c:pt>
              </c:numCache>
            </c:numRef>
          </c:xVal>
          <c:yVal>
            <c:numRef>
              <c:f>0</c:f>
              <c:numCache>
                <c:formatCode>General</c:formatCode>
                <c:ptCount val="56"/>
                <c:pt idx="0">
                  <c:v>-35.5164043978597</c:v>
                </c:pt>
                <c:pt idx="1">
                  <c:v>7.83030084480667</c:v>
                </c:pt>
                <c:pt idx="2">
                  <c:v>-14.8593501816359</c:v>
                </c:pt>
                <c:pt idx="3">
                  <c:v>-22.290948688793</c:v>
                </c:pt>
                <c:pt idx="4">
                  <c:v>-27.1618831103758</c:v>
                </c:pt>
                <c:pt idx="5">
                  <c:v>25.9829118985266</c:v>
                </c:pt>
                <c:pt idx="6">
                  <c:v>31.2493616063742</c:v>
                </c:pt>
                <c:pt idx="7">
                  <c:v>-44.5435562324023</c:v>
                </c:pt>
                <c:pt idx="8">
                  <c:v>-46.9724951091297</c:v>
                </c:pt>
                <c:pt idx="9">
                  <c:v>-17.2184819761078</c:v>
                </c:pt>
                <c:pt idx="10">
                  <c:v>37.4399138811179</c:v>
                </c:pt>
                <c:pt idx="11">
                  <c:v>44.7082123076596</c:v>
                </c:pt>
                <c:pt idx="12">
                  <c:v>12.2191612278638</c:v>
                </c:pt>
                <c:pt idx="13">
                  <c:v>104.368906988388</c:v>
                </c:pt>
                <c:pt idx="14">
                  <c:v>103.865585321874</c:v>
                </c:pt>
                <c:pt idx="15">
                  <c:v>30.2581940003167</c:v>
                </c:pt>
                <c:pt idx="16">
                  <c:v>-13.6611367030827</c:v>
                </c:pt>
                <c:pt idx="17">
                  <c:v>-10.3402362425163</c:v>
                </c:pt>
                <c:pt idx="18">
                  <c:v>-20.7185200038547</c:v>
                </c:pt>
                <c:pt idx="19">
                  <c:v>18.890940538099</c:v>
                </c:pt>
                <c:pt idx="20">
                  <c:v>43.1560324682274</c:v>
                </c:pt>
                <c:pt idx="21">
                  <c:v>363.074612401586</c:v>
                </c:pt>
                <c:pt idx="22">
                  <c:v>-42.294010686092</c:v>
                </c:pt>
                <c:pt idx="23">
                  <c:v>-4.16549549770109</c:v>
                </c:pt>
                <c:pt idx="24">
                  <c:v>51.0596169432459</c:v>
                </c:pt>
                <c:pt idx="25">
                  <c:v>-25.6845452834136</c:v>
                </c:pt>
                <c:pt idx="26">
                  <c:v>-10.836242462409</c:v>
                </c:pt>
                <c:pt idx="27">
                  <c:v>4.38797959355394</c:v>
                </c:pt>
                <c:pt idx="28">
                  <c:v>-26.4421878623126</c:v>
                </c:pt>
                <c:pt idx="29">
                  <c:v>34.0595999730398</c:v>
                </c:pt>
                <c:pt idx="30">
                  <c:v>41.8265603494803</c:v>
                </c:pt>
                <c:pt idx="31">
                  <c:v>-16.4987959234562</c:v>
                </c:pt>
                <c:pt idx="32">
                  <c:v>-11.3474540876284</c:v>
                </c:pt>
                <c:pt idx="33">
                  <c:v>22.5143203130524</c:v>
                </c:pt>
                <c:pt idx="34">
                  <c:v>2.8419574614623</c:v>
                </c:pt>
                <c:pt idx="35">
                  <c:v>22.5989799765955</c:v>
                </c:pt>
                <c:pt idx="36">
                  <c:v>15.6504216074988</c:v>
                </c:pt>
                <c:pt idx="37">
                  <c:v>2.06533699733385</c:v>
                </c:pt>
                <c:pt idx="38">
                  <c:v>11.1538164163605</c:v>
                </c:pt>
                <c:pt idx="39">
                  <c:v>55.0323510538425</c:v>
                </c:pt>
                <c:pt idx="40">
                  <c:v>-0.0598885316572931</c:v>
                </c:pt>
                <c:pt idx="41">
                  <c:v>19.9925822418987</c:v>
                </c:pt>
                <c:pt idx="42">
                  <c:v>17.9262546503065</c:v>
                </c:pt>
                <c:pt idx="43">
                  <c:v>0.00653002437663792</c:v>
                </c:pt>
                <c:pt idx="44">
                  <c:v>-8.0767098635356</c:v>
                </c:pt>
                <c:pt idx="45">
                  <c:v>-16.4390220568738</c:v>
                </c:pt>
                <c:pt idx="46">
                  <c:v>-52.6077396105258</c:v>
                </c:pt>
                <c:pt idx="47">
                  <c:v>-69.1197896678483</c:v>
                </c:pt>
                <c:pt idx="48">
                  <c:v>-5.29097563699689</c:v>
                </c:pt>
                <c:pt idx="49">
                  <c:v>79.8946307543886</c:v>
                </c:pt>
                <c:pt idx="50">
                  <c:v>47.6915560967253</c:v>
                </c:pt>
                <c:pt idx="51">
                  <c:v>15.7484352606893</c:v>
                </c:pt>
                <c:pt idx="52">
                  <c:v>14.1210469773922</c:v>
                </c:pt>
                <c:pt idx="53">
                  <c:v>89.8503985989333</c:v>
                </c:pt>
                <c:pt idx="54">
                  <c:v>27.3709822651633</c:v>
                </c:pt>
                <c:pt idx="55">
                  <c:v>-37.7533739767241</c:v>
                </c:pt>
              </c:numCache>
            </c:numRef>
          </c:yVal>
          <c:smooth val="0"/>
        </c:ser>
        <c:axId val="69208636"/>
        <c:axId val="39544540"/>
      </c:scatterChart>
      <c:valAx>
        <c:axId val="69208636"/>
        <c:scaling>
          <c:orientation val="minMax"/>
          <c:max val="160"/>
          <c:min val="0"/>
        </c:scaling>
        <c:delete val="0"/>
        <c:axPos val="b"/>
        <c:title>
          <c:tx>
            <c:rich>
              <a:bodyPr rot="0"/>
              <a:lstStyle/>
              <a:p>
                <a:pPr>
                  <a:defRPr b="0" sz="1200" spc="-1" strike="noStrike">
                    <a:solidFill>
                      <a:srgbClr val="000000"/>
                    </a:solidFill>
                    <a:latin typeface="Times New Roman"/>
                  </a:defRPr>
                </a:pPr>
                <a:r>
                  <a:rPr b="0" sz="1200" spc="-1" strike="noStrike">
                    <a:solidFill>
                      <a:srgbClr val="000000"/>
                    </a:solidFill>
                    <a:latin typeface="Times New Roman"/>
                  </a:rPr>
                  <a:t>Volume por parcela observado (m3/ha)</a:t>
                </a:r>
              </a:p>
            </c:rich>
          </c:tx>
          <c:overlay val="0"/>
          <c:spPr>
            <a:noFill/>
            <a:ln>
              <a:noFill/>
            </a:ln>
          </c:spPr>
        </c:title>
        <c:numFmt formatCode="#,##0" sourceLinked="0"/>
        <c:majorTickMark val="out"/>
        <c:minorTickMark val="none"/>
        <c:tickLblPos val="nextTo"/>
        <c:spPr>
          <a:ln w="9360">
            <a:solidFill>
              <a:srgbClr val="878787"/>
            </a:solidFill>
            <a:round/>
          </a:ln>
        </c:spPr>
        <c:txPr>
          <a:bodyPr/>
          <a:lstStyle/>
          <a:p>
            <a:pPr>
              <a:defRPr b="0" sz="1200" spc="-1" strike="noStrike">
                <a:solidFill>
                  <a:srgbClr val="000000"/>
                </a:solidFill>
                <a:latin typeface="Times New Roman"/>
              </a:defRPr>
            </a:pPr>
          </a:p>
        </c:txPr>
        <c:crossAx val="39544540"/>
        <c:crosses val="autoZero"/>
        <c:crossBetween val="midCat"/>
        <c:majorUnit val="20"/>
      </c:valAx>
      <c:valAx>
        <c:axId val="39544540"/>
        <c:scaling>
          <c:orientation val="minMax"/>
          <c:max val="100"/>
          <c:min val="-100"/>
        </c:scaling>
        <c:delete val="0"/>
        <c:axPos val="l"/>
        <c:title>
          <c:tx>
            <c:rich>
              <a:bodyPr rot="-5400000"/>
              <a:lstStyle/>
              <a:p>
                <a:pPr>
                  <a:defRPr b="0" sz="1200" spc="-1" strike="noStrike">
                    <a:solidFill>
                      <a:srgbClr val="000000"/>
                    </a:solidFill>
                    <a:latin typeface="Times New Roman"/>
                  </a:defRPr>
                </a:pPr>
                <a:r>
                  <a:rPr b="0" sz="1200" spc="-1" strike="noStrike">
                    <a:solidFill>
                      <a:srgbClr val="000000"/>
                    </a:solidFill>
                    <a:latin typeface="Times New Roman"/>
                  </a:rPr>
                  <a:t>Erro (%)</a:t>
                </a:r>
              </a:p>
            </c:rich>
          </c:tx>
          <c:overlay val="0"/>
          <c:spPr>
            <a:noFill/>
            <a:ln>
              <a:noFill/>
            </a:ln>
          </c:spPr>
        </c:title>
        <c:numFmt formatCode="#,##0" sourceLinked="0"/>
        <c:majorTickMark val="out"/>
        <c:minorTickMark val="out"/>
        <c:tickLblPos val="nextTo"/>
        <c:spPr>
          <a:ln w="9360">
            <a:solidFill>
              <a:srgbClr val="878787"/>
            </a:solidFill>
            <a:round/>
          </a:ln>
        </c:spPr>
        <c:txPr>
          <a:bodyPr/>
          <a:lstStyle/>
          <a:p>
            <a:pPr>
              <a:defRPr b="0" sz="1200" spc="-1" strike="noStrike">
                <a:solidFill>
                  <a:srgbClr val="000000"/>
                </a:solidFill>
                <a:latin typeface="Times New Roman"/>
              </a:defRPr>
            </a:pPr>
          </a:p>
        </c:txPr>
        <c:crossAx val="69208636"/>
        <c:crosses val="autoZero"/>
        <c:crossBetween val="midCat"/>
        <c:majorUnit val="20"/>
        <c:minorUnit val="10"/>
      </c:valAx>
      <c:spPr>
        <a:solidFill>
          <a:srgbClr val="ffffff"/>
        </a:solidFill>
        <a:ln>
          <a:noFill/>
        </a:ln>
      </c:spPr>
    </c:plotArea>
    <c:plotVisOnly val="1"/>
    <c:dispBlanksAs val="gap"/>
  </c:chart>
  <c:spPr>
    <a:solidFill>
      <a:srgbClr val="ffffff"/>
    </a:solidFill>
    <a:ln w="9360">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000000"/>
                </a:solidFill>
                <a:latin typeface="Times New Roman"/>
              </a:defRPr>
            </a:pPr>
            <a:r>
              <a:rPr b="0" sz="1200" spc="-1" strike="noStrike">
                <a:solidFill>
                  <a:srgbClr val="000000"/>
                </a:solidFill>
                <a:latin typeface="Times New Roman"/>
              </a:rPr>
              <a:t>Landsat 5 / TM
22/05/2011</a:t>
            </a:r>
          </a:p>
        </c:rich>
      </c:tx>
      <c:overlay val="0"/>
      <c:spPr>
        <a:noFill/>
        <a:ln>
          <a:noFill/>
        </a:ln>
      </c:spPr>
    </c:title>
    <c:autoTitleDeleted val="0"/>
    <c:plotArea>
      <c:scatterChart>
        <c:scatterStyle val="lineMarker"/>
        <c:varyColors val="0"/>
        <c:ser>
          <c:idx val="0"/>
          <c:order val="0"/>
          <c:tx>
            <c:strRef>
              <c:f>label 0</c:f>
              <c:strCache>
                <c:ptCount val="1"/>
                <c:pt idx="0">
                  <c:v>Série sem nome 2</c:v>
                </c:pt>
              </c:strCache>
            </c:strRef>
          </c:tx>
          <c:spPr>
            <a:solidFill>
              <a:srgbClr val="000000"/>
            </a:solidFill>
            <a:ln w="28440">
              <a:noFill/>
            </a:ln>
          </c:spPr>
          <c:marker>
            <c:symbol val="circle"/>
            <c:size val="4"/>
            <c:spPr>
              <a:solidFill>
                <a:srgbClr val="000000"/>
              </a:solidFill>
            </c:spPr>
          </c:marker>
          <c:dLbls>
            <c:numFmt formatCode="General" sourceLinked="1"/>
            <c:txPr>
              <a:bodyPr/>
              <a:lstStyle/>
              <a:p>
                <a:pPr>
                  <a:defRPr b="0" sz="1200" spc="-1" strike="noStrike">
                    <a:solidFill>
                      <a:srgbClr val="000000"/>
                    </a:solidFill>
                    <a:latin typeface="Times New Roman"/>
                  </a:defRPr>
                </a:pPr>
              </a:p>
            </c:txPr>
            <c:dLblPos val="r"/>
            <c:showLegendKey val="0"/>
            <c:showVal val="0"/>
            <c:showCatName val="0"/>
            <c:showSerName val="0"/>
            <c:showPercent val="0"/>
            <c:separator>; </c:separator>
            <c:showLeaderLines val="0"/>
          </c:dLbls>
          <c:xVal>
            <c:numRef>
              <c:f>1</c:f>
              <c:numCache>
                <c:formatCode>General</c:formatCode>
                <c:ptCount val="56"/>
                <c:pt idx="0">
                  <c:v>67.811032</c:v>
                </c:pt>
                <c:pt idx="1">
                  <c:v>115.103564</c:v>
                </c:pt>
                <c:pt idx="2">
                  <c:v>45.275597</c:v>
                </c:pt>
                <c:pt idx="3">
                  <c:v>77.253996</c:v>
                </c:pt>
                <c:pt idx="4">
                  <c:v>57.748182</c:v>
                </c:pt>
                <c:pt idx="5">
                  <c:v>75.214264</c:v>
                </c:pt>
                <c:pt idx="6">
                  <c:v>51.91371</c:v>
                </c:pt>
                <c:pt idx="7">
                  <c:v>39.245325</c:v>
                </c:pt>
                <c:pt idx="8">
                  <c:v>55.478048</c:v>
                </c:pt>
                <c:pt idx="9">
                  <c:v>42.248472</c:v>
                </c:pt>
                <c:pt idx="10">
                  <c:v>43.663288</c:v>
                </c:pt>
                <c:pt idx="11">
                  <c:v>52.438688</c:v>
                </c:pt>
                <c:pt idx="12">
                  <c:v>43.875284</c:v>
                </c:pt>
                <c:pt idx="13">
                  <c:v>27.717402</c:v>
                </c:pt>
                <c:pt idx="14">
                  <c:v>34.622088</c:v>
                </c:pt>
                <c:pt idx="15">
                  <c:v>38.013781</c:v>
                </c:pt>
                <c:pt idx="16">
                  <c:v>26.657589</c:v>
                </c:pt>
                <c:pt idx="17">
                  <c:v>27.590065</c:v>
                </c:pt>
                <c:pt idx="18">
                  <c:v>29.333912</c:v>
                </c:pt>
                <c:pt idx="19">
                  <c:v>36.686434</c:v>
                </c:pt>
                <c:pt idx="20">
                  <c:v>40.252892</c:v>
                </c:pt>
                <c:pt idx="21">
                  <c:v>43.151946</c:v>
                </c:pt>
                <c:pt idx="22">
                  <c:v>37.519123</c:v>
                </c:pt>
                <c:pt idx="23">
                  <c:v>24.497875</c:v>
                </c:pt>
                <c:pt idx="24">
                  <c:v>47.890453</c:v>
                </c:pt>
                <c:pt idx="25">
                  <c:v>39.014168</c:v>
                </c:pt>
                <c:pt idx="26">
                  <c:v>16.99103</c:v>
                </c:pt>
                <c:pt idx="27">
                  <c:v>50.879378</c:v>
                </c:pt>
                <c:pt idx="28">
                  <c:v>12.263531</c:v>
                </c:pt>
                <c:pt idx="29">
                  <c:v>71.068548</c:v>
                </c:pt>
                <c:pt idx="30">
                  <c:v>71.362226</c:v>
                </c:pt>
                <c:pt idx="31">
                  <c:v>84.441022</c:v>
                </c:pt>
                <c:pt idx="32">
                  <c:v>77.718209</c:v>
                </c:pt>
                <c:pt idx="33">
                  <c:v>41.548037</c:v>
                </c:pt>
                <c:pt idx="34">
                  <c:v>50.156033</c:v>
                </c:pt>
                <c:pt idx="35">
                  <c:v>55.284068</c:v>
                </c:pt>
                <c:pt idx="36">
                  <c:v>57.358273</c:v>
                </c:pt>
                <c:pt idx="37">
                  <c:v>48.726261</c:v>
                </c:pt>
                <c:pt idx="38">
                  <c:v>40.553372</c:v>
                </c:pt>
                <c:pt idx="39">
                  <c:v>52.512265</c:v>
                </c:pt>
                <c:pt idx="40">
                  <c:v>53.043082</c:v>
                </c:pt>
                <c:pt idx="41">
                  <c:v>54.132789</c:v>
                </c:pt>
                <c:pt idx="42">
                  <c:v>33.05327</c:v>
                </c:pt>
                <c:pt idx="43">
                  <c:v>34.251647</c:v>
                </c:pt>
                <c:pt idx="44">
                  <c:v>91.809057</c:v>
                </c:pt>
                <c:pt idx="45">
                  <c:v>58.042609</c:v>
                </c:pt>
                <c:pt idx="46">
                  <c:v>38.33851</c:v>
                </c:pt>
                <c:pt idx="47">
                  <c:v>32.354295</c:v>
                </c:pt>
                <c:pt idx="48">
                  <c:v>42.557975</c:v>
                </c:pt>
                <c:pt idx="49">
                  <c:v>36.15432</c:v>
                </c:pt>
                <c:pt idx="50">
                  <c:v>33.201799</c:v>
                </c:pt>
                <c:pt idx="51">
                  <c:v>41.791441</c:v>
                </c:pt>
                <c:pt idx="52">
                  <c:v>62.367048</c:v>
                </c:pt>
                <c:pt idx="53">
                  <c:v>101.333929</c:v>
                </c:pt>
                <c:pt idx="54">
                  <c:v>113.019854</c:v>
                </c:pt>
                <c:pt idx="55">
                  <c:v>86.521092</c:v>
                </c:pt>
              </c:numCache>
            </c:numRef>
          </c:xVal>
          <c:yVal>
            <c:numRef>
              <c:f>0</c:f>
              <c:numCache>
                <c:formatCode>General</c:formatCode>
                <c:ptCount val="56"/>
                <c:pt idx="0">
                  <c:v>-37.7961950057082</c:v>
                </c:pt>
                <c:pt idx="1">
                  <c:v>-24.7983278608164</c:v>
                </c:pt>
                <c:pt idx="2">
                  <c:v>-2.43364559596323</c:v>
                </c:pt>
                <c:pt idx="3">
                  <c:v>22.1614341781515</c:v>
                </c:pt>
                <c:pt idx="4">
                  <c:v>12.0379623004629</c:v>
                </c:pt>
                <c:pt idx="5">
                  <c:v>-31.5747548640897</c:v>
                </c:pt>
                <c:pt idx="6">
                  <c:v>-19.5636709567275</c:v>
                </c:pt>
                <c:pt idx="7">
                  <c:v>10.3848024888667</c:v>
                </c:pt>
                <c:pt idx="8">
                  <c:v>-29.9108823714561</c:v>
                </c:pt>
                <c:pt idx="9">
                  <c:v>-22.2359656252825</c:v>
                </c:pt>
                <c:pt idx="10">
                  <c:v>3.93816929028238</c:v>
                </c:pt>
                <c:pt idx="11">
                  <c:v>-17.1438345914639</c:v>
                </c:pt>
                <c:pt idx="12">
                  <c:v>-21.259413687934</c:v>
                </c:pt>
                <c:pt idx="13">
                  <c:v>40.1802124792516</c:v>
                </c:pt>
                <c:pt idx="14">
                  <c:v>0.416742642114506</c:v>
                </c:pt>
                <c:pt idx="15">
                  <c:v>-0.548986568280334</c:v>
                </c:pt>
                <c:pt idx="16">
                  <c:v>124.623362070419</c:v>
                </c:pt>
                <c:pt idx="17">
                  <c:v>28.0701540528726</c:v>
                </c:pt>
                <c:pt idx="18">
                  <c:v>18.6824805725554</c:v>
                </c:pt>
                <c:pt idx="19">
                  <c:v>11.6408125597026</c:v>
                </c:pt>
                <c:pt idx="20">
                  <c:v>-15.9537381703326</c:v>
                </c:pt>
                <c:pt idx="21">
                  <c:v>-3.81829247327004</c:v>
                </c:pt>
                <c:pt idx="22">
                  <c:v>4.23295025200208</c:v>
                </c:pt>
                <c:pt idx="23">
                  <c:v>68.788014722522</c:v>
                </c:pt>
                <c:pt idx="24">
                  <c:v>-1.87021622153334</c:v>
                </c:pt>
                <c:pt idx="25">
                  <c:v>12.5312539186872</c:v>
                </c:pt>
                <c:pt idx="26">
                  <c:v>107.735429677128</c:v>
                </c:pt>
                <c:pt idx="27">
                  <c:v>-4.41663412172423</c:v>
                </c:pt>
                <c:pt idx="28">
                  <c:v>236.102724230926</c:v>
                </c:pt>
                <c:pt idx="29">
                  <c:v>22.7827826623022</c:v>
                </c:pt>
                <c:pt idx="30">
                  <c:v>-15.4314048217417</c:v>
                </c:pt>
                <c:pt idx="31">
                  <c:v>-29.153399702466</c:v>
                </c:pt>
                <c:pt idx="32">
                  <c:v>-17.6910155775532</c:v>
                </c:pt>
                <c:pt idx="33">
                  <c:v>-19.2153535818388</c:v>
                </c:pt>
                <c:pt idx="34">
                  <c:v>10.3394825164213</c:v>
                </c:pt>
                <c:pt idx="35">
                  <c:v>17.2085644757479</c:v>
                </c:pt>
                <c:pt idx="36">
                  <c:v>29.531972931915</c:v>
                </c:pt>
                <c:pt idx="37">
                  <c:v>-2.61779934593067</c:v>
                </c:pt>
                <c:pt idx="38">
                  <c:v>52.6112115016528</c:v>
                </c:pt>
                <c:pt idx="39">
                  <c:v>5.3885359219708</c:v>
                </c:pt>
                <c:pt idx="40">
                  <c:v>-2.27879915135248</c:v>
                </c:pt>
                <c:pt idx="41">
                  <c:v>16.8877832075738</c:v>
                </c:pt>
                <c:pt idx="42">
                  <c:v>43.5582780712636</c:v>
                </c:pt>
                <c:pt idx="43">
                  <c:v>27.9703890361643</c:v>
                </c:pt>
                <c:pt idx="44">
                  <c:v>-31.0802015420621</c:v>
                </c:pt>
                <c:pt idx="45">
                  <c:v>12.6060228668164</c:v>
                </c:pt>
                <c:pt idx="46">
                  <c:v>48.2945018468438</c:v>
                </c:pt>
                <c:pt idx="47">
                  <c:v>27.3959509175029</c:v>
                </c:pt>
                <c:pt idx="48">
                  <c:v>34.5107539400391</c:v>
                </c:pt>
                <c:pt idx="49">
                  <c:v>30.5388858634292</c:v>
                </c:pt>
                <c:pt idx="50">
                  <c:v>45.150818469944</c:v>
                </c:pt>
                <c:pt idx="51">
                  <c:v>43.1479554473672</c:v>
                </c:pt>
                <c:pt idx="52">
                  <c:v>18.0539486528477</c:v>
                </c:pt>
                <c:pt idx="53">
                  <c:v>-11.7886219950743</c:v>
                </c:pt>
                <c:pt idx="54">
                  <c:v>-28.693607798576</c:v>
                </c:pt>
                <c:pt idx="55">
                  <c:v>23.225483339312</c:v>
                </c:pt>
              </c:numCache>
            </c:numRef>
          </c:yVal>
          <c:smooth val="0"/>
        </c:ser>
        <c:axId val="84914874"/>
        <c:axId val="33066171"/>
      </c:scatterChart>
      <c:valAx>
        <c:axId val="84914874"/>
        <c:scaling>
          <c:orientation val="minMax"/>
          <c:max val="160"/>
          <c:min val="0"/>
        </c:scaling>
        <c:delete val="0"/>
        <c:axPos val="b"/>
        <c:title>
          <c:tx>
            <c:rich>
              <a:bodyPr rot="0"/>
              <a:lstStyle/>
              <a:p>
                <a:pPr>
                  <a:defRPr b="0" sz="1200" spc="-1" strike="noStrike">
                    <a:solidFill>
                      <a:srgbClr val="000000"/>
                    </a:solidFill>
                    <a:latin typeface="Times New Roman"/>
                  </a:defRPr>
                </a:pPr>
                <a:r>
                  <a:rPr b="0" sz="1200" spc="-1" strike="noStrike">
                    <a:solidFill>
                      <a:srgbClr val="000000"/>
                    </a:solidFill>
                    <a:latin typeface="Times New Roman"/>
                  </a:rPr>
                  <a:t>Volume por parcela observado (m3/ha)</a:t>
                </a:r>
              </a:p>
            </c:rich>
          </c:tx>
          <c:overlay val="0"/>
          <c:spPr>
            <a:noFill/>
            <a:ln>
              <a:noFill/>
            </a:ln>
          </c:spPr>
        </c:title>
        <c:numFmt formatCode="#,##0" sourceLinked="0"/>
        <c:majorTickMark val="out"/>
        <c:minorTickMark val="none"/>
        <c:tickLblPos val="nextTo"/>
        <c:spPr>
          <a:ln w="9360">
            <a:solidFill>
              <a:srgbClr val="878787"/>
            </a:solidFill>
            <a:round/>
          </a:ln>
        </c:spPr>
        <c:txPr>
          <a:bodyPr/>
          <a:lstStyle/>
          <a:p>
            <a:pPr>
              <a:defRPr b="0" sz="1200" spc="-1" strike="noStrike">
                <a:solidFill>
                  <a:srgbClr val="000000"/>
                </a:solidFill>
                <a:latin typeface="Times New Roman"/>
              </a:defRPr>
            </a:pPr>
          </a:p>
        </c:txPr>
        <c:crossAx val="33066171"/>
        <c:crosses val="autoZero"/>
        <c:crossBetween val="midCat"/>
        <c:majorUnit val="20"/>
      </c:valAx>
      <c:valAx>
        <c:axId val="33066171"/>
        <c:scaling>
          <c:orientation val="minMax"/>
          <c:max val="100"/>
          <c:min val="-100"/>
        </c:scaling>
        <c:delete val="0"/>
        <c:axPos val="l"/>
        <c:title>
          <c:tx>
            <c:rich>
              <a:bodyPr rot="-5400000"/>
              <a:lstStyle/>
              <a:p>
                <a:pPr>
                  <a:defRPr b="0" sz="1200" spc="-1" strike="noStrike">
                    <a:solidFill>
                      <a:srgbClr val="000000"/>
                    </a:solidFill>
                    <a:latin typeface="Times New Roman"/>
                  </a:defRPr>
                </a:pPr>
                <a:r>
                  <a:rPr b="0" sz="1200" spc="-1" strike="noStrike">
                    <a:solidFill>
                      <a:srgbClr val="000000"/>
                    </a:solidFill>
                    <a:latin typeface="Times New Roman"/>
                  </a:rPr>
                  <a:t>Erro (%)</a:t>
                </a:r>
              </a:p>
            </c:rich>
          </c:tx>
          <c:overlay val="0"/>
          <c:spPr>
            <a:noFill/>
            <a:ln>
              <a:noFill/>
            </a:ln>
          </c:spPr>
        </c:title>
        <c:numFmt formatCode="#,##0" sourceLinked="0"/>
        <c:majorTickMark val="out"/>
        <c:minorTickMark val="out"/>
        <c:tickLblPos val="nextTo"/>
        <c:spPr>
          <a:ln w="9360">
            <a:solidFill>
              <a:srgbClr val="878787"/>
            </a:solidFill>
            <a:round/>
          </a:ln>
        </c:spPr>
        <c:txPr>
          <a:bodyPr/>
          <a:lstStyle/>
          <a:p>
            <a:pPr>
              <a:defRPr b="0" sz="1200" spc="-1" strike="noStrike">
                <a:solidFill>
                  <a:srgbClr val="000000"/>
                </a:solidFill>
                <a:latin typeface="Times New Roman"/>
              </a:defRPr>
            </a:pPr>
          </a:p>
        </c:txPr>
        <c:crossAx val="84914874"/>
        <c:crosses val="autoZero"/>
        <c:crossBetween val="midCat"/>
        <c:majorUnit val="20"/>
        <c:minorUnit val="10"/>
      </c:valAx>
      <c:spPr>
        <a:solidFill>
          <a:srgbClr val="ffffff"/>
        </a:solidFill>
        <a:ln>
          <a:noFill/>
        </a:ln>
      </c:spPr>
    </c:plotArea>
    <c:plotVisOnly val="1"/>
    <c:dispBlanksAs val="gap"/>
  </c:chart>
  <c:spPr>
    <a:solidFill>
      <a:srgbClr val="ffffff"/>
    </a:solidFill>
    <a:ln w="9360">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000000"/>
                </a:solidFill>
                <a:latin typeface="Times New Roman"/>
              </a:defRPr>
            </a:pPr>
            <a:r>
              <a:rPr b="0" sz="1200" spc="-1" strike="noStrike">
                <a:solidFill>
                  <a:srgbClr val="000000"/>
                </a:solidFill>
                <a:latin typeface="Times New Roman"/>
              </a:rPr>
              <a:t>RapidEye
20/06/2011</a:t>
            </a:r>
          </a:p>
        </c:rich>
      </c:tx>
      <c:overlay val="0"/>
      <c:spPr>
        <a:noFill/>
        <a:ln>
          <a:noFill/>
        </a:ln>
      </c:spPr>
    </c:title>
    <c:autoTitleDeleted val="0"/>
    <c:plotArea>
      <c:scatterChart>
        <c:scatterStyle val="lineMarker"/>
        <c:varyColors val="0"/>
        <c:ser>
          <c:idx val="0"/>
          <c:order val="0"/>
          <c:tx>
            <c:strRef>
              <c:f>label 0</c:f>
              <c:strCache>
                <c:ptCount val="1"/>
                <c:pt idx="0">
                  <c:v>Série sem nome 2</c:v>
                </c:pt>
              </c:strCache>
            </c:strRef>
          </c:tx>
          <c:spPr>
            <a:solidFill>
              <a:srgbClr val="000000"/>
            </a:solidFill>
            <a:ln w="28440">
              <a:noFill/>
            </a:ln>
          </c:spPr>
          <c:marker>
            <c:symbol val="circle"/>
            <c:size val="4"/>
            <c:spPr>
              <a:solidFill>
                <a:srgbClr val="000000"/>
              </a:solidFill>
            </c:spPr>
          </c:marker>
          <c:dLbls>
            <c:numFmt formatCode="General" sourceLinked="1"/>
            <c:txPr>
              <a:bodyPr/>
              <a:lstStyle/>
              <a:p>
                <a:pPr>
                  <a:defRPr b="0" sz="1200" spc="-1" strike="noStrike">
                    <a:solidFill>
                      <a:srgbClr val="000000"/>
                    </a:solidFill>
                    <a:latin typeface="Times New Roman"/>
                  </a:defRPr>
                </a:pPr>
              </a:p>
            </c:txPr>
            <c:dLblPos val="r"/>
            <c:showLegendKey val="0"/>
            <c:showVal val="0"/>
            <c:showCatName val="0"/>
            <c:showSerName val="0"/>
            <c:showPercent val="0"/>
            <c:separator>; </c:separator>
            <c:showLeaderLines val="0"/>
          </c:dLbls>
          <c:xVal>
            <c:numRef>
              <c:f>1</c:f>
              <c:numCache>
                <c:formatCode>General</c:formatCode>
                <c:ptCount val="56"/>
                <c:pt idx="0">
                  <c:v>67.811032</c:v>
                </c:pt>
                <c:pt idx="1">
                  <c:v>84.008393</c:v>
                </c:pt>
                <c:pt idx="2">
                  <c:v>134.646383</c:v>
                </c:pt>
                <c:pt idx="3">
                  <c:v>93.856049</c:v>
                </c:pt>
                <c:pt idx="4">
                  <c:v>54.944909</c:v>
                </c:pt>
                <c:pt idx="5">
                  <c:v>45.275597</c:v>
                </c:pt>
                <c:pt idx="6">
                  <c:v>84.566478</c:v>
                </c:pt>
                <c:pt idx="7">
                  <c:v>65.119861</c:v>
                </c:pt>
                <c:pt idx="8">
                  <c:v>67.377197</c:v>
                </c:pt>
                <c:pt idx="9">
                  <c:v>86.113021</c:v>
                </c:pt>
                <c:pt idx="10">
                  <c:v>63.889955</c:v>
                </c:pt>
                <c:pt idx="11">
                  <c:v>50.268241</c:v>
                </c:pt>
                <c:pt idx="12">
                  <c:v>85.212755</c:v>
                </c:pt>
                <c:pt idx="13">
                  <c:v>30.849593</c:v>
                </c:pt>
                <c:pt idx="14">
                  <c:v>39.245325</c:v>
                </c:pt>
                <c:pt idx="15">
                  <c:v>42.248472</c:v>
                </c:pt>
                <c:pt idx="16">
                  <c:v>36.222822</c:v>
                </c:pt>
                <c:pt idx="17">
                  <c:v>37.405046</c:v>
                </c:pt>
                <c:pt idx="18">
                  <c:v>38.013781</c:v>
                </c:pt>
                <c:pt idx="19">
                  <c:v>66.606966</c:v>
                </c:pt>
                <c:pt idx="20">
                  <c:v>26.657589</c:v>
                </c:pt>
                <c:pt idx="21">
                  <c:v>38.993371</c:v>
                </c:pt>
                <c:pt idx="22">
                  <c:v>48.185829</c:v>
                </c:pt>
                <c:pt idx="23">
                  <c:v>52.577598</c:v>
                </c:pt>
                <c:pt idx="24">
                  <c:v>37.519123</c:v>
                </c:pt>
                <c:pt idx="25">
                  <c:v>24.497875</c:v>
                </c:pt>
                <c:pt idx="26">
                  <c:v>50.27443</c:v>
                </c:pt>
                <c:pt idx="27">
                  <c:v>38.685184</c:v>
                </c:pt>
                <c:pt idx="28">
                  <c:v>16.99103</c:v>
                </c:pt>
                <c:pt idx="29">
                  <c:v>39.831167</c:v>
                </c:pt>
                <c:pt idx="30">
                  <c:v>43.202519</c:v>
                </c:pt>
                <c:pt idx="31">
                  <c:v>64.861751</c:v>
                </c:pt>
                <c:pt idx="32">
                  <c:v>86.535423</c:v>
                </c:pt>
                <c:pt idx="33">
                  <c:v>55.413947</c:v>
                </c:pt>
                <c:pt idx="34">
                  <c:v>36.729585</c:v>
                </c:pt>
                <c:pt idx="35">
                  <c:v>49.055434</c:v>
                </c:pt>
                <c:pt idx="36">
                  <c:v>41.548037</c:v>
                </c:pt>
                <c:pt idx="37">
                  <c:v>74.867266</c:v>
                </c:pt>
                <c:pt idx="38">
                  <c:v>42.950286</c:v>
                </c:pt>
                <c:pt idx="39">
                  <c:v>49.637376</c:v>
                </c:pt>
                <c:pt idx="40">
                  <c:v>48.726261</c:v>
                </c:pt>
                <c:pt idx="41">
                  <c:v>61.091569</c:v>
                </c:pt>
                <c:pt idx="42">
                  <c:v>40.168157</c:v>
                </c:pt>
                <c:pt idx="43">
                  <c:v>72.520182</c:v>
                </c:pt>
                <c:pt idx="44">
                  <c:v>46.081829</c:v>
                </c:pt>
                <c:pt idx="45">
                  <c:v>59.808772</c:v>
                </c:pt>
                <c:pt idx="46">
                  <c:v>52.512265</c:v>
                </c:pt>
                <c:pt idx="47">
                  <c:v>53.621182</c:v>
                </c:pt>
                <c:pt idx="48">
                  <c:v>53.043082</c:v>
                </c:pt>
                <c:pt idx="49">
                  <c:v>34.251647</c:v>
                </c:pt>
                <c:pt idx="50">
                  <c:v>61.687905</c:v>
                </c:pt>
                <c:pt idx="51">
                  <c:v>38.33851</c:v>
                </c:pt>
                <c:pt idx="52">
                  <c:v>32.354295</c:v>
                </c:pt>
                <c:pt idx="53">
                  <c:v>78.59142</c:v>
                </c:pt>
                <c:pt idx="54">
                  <c:v>29.979273</c:v>
                </c:pt>
                <c:pt idx="55">
                  <c:v>80.580549</c:v>
                </c:pt>
              </c:numCache>
            </c:numRef>
          </c:xVal>
          <c:yVal>
            <c:numRef>
              <c:f>0</c:f>
              <c:numCache>
                <c:formatCode>General</c:formatCode>
                <c:ptCount val="56"/>
                <c:pt idx="0">
                  <c:v>-53.9359419339576</c:v>
                </c:pt>
                <c:pt idx="1">
                  <c:v>17.033123194882</c:v>
                </c:pt>
                <c:pt idx="2">
                  <c:v>156.306266486994</c:v>
                </c:pt>
                <c:pt idx="3">
                  <c:v>-4.61699935228672</c:v>
                </c:pt>
                <c:pt idx="4">
                  <c:v>-65.2557561575701</c:v>
                </c:pt>
                <c:pt idx="5">
                  <c:v>-60.2683121998295</c:v>
                </c:pt>
                <c:pt idx="6">
                  <c:v>16.3047266684587</c:v>
                </c:pt>
                <c:pt idx="7">
                  <c:v>-46.5230800954639</c:v>
                </c:pt>
                <c:pt idx="8">
                  <c:v>-38.4832848074682</c:v>
                </c:pt>
                <c:pt idx="9">
                  <c:v>-18.1877392532148</c:v>
                </c:pt>
                <c:pt idx="10">
                  <c:v>-59.0069034444911</c:v>
                </c:pt>
                <c:pt idx="11">
                  <c:v>13.7142315866743</c:v>
                </c:pt>
                <c:pt idx="12">
                  <c:v>10.4206797542072</c:v>
                </c:pt>
                <c:pt idx="13">
                  <c:v>-13.5029121714525</c:v>
                </c:pt>
                <c:pt idx="14">
                  <c:v>-17.1972766867492</c:v>
                </c:pt>
                <c:pt idx="15">
                  <c:v>1.11112489644432</c:v>
                </c:pt>
                <c:pt idx="16">
                  <c:v>-0.295507381054627</c:v>
                </c:pt>
                <c:pt idx="17">
                  <c:v>-47.9168746784494</c:v>
                </c:pt>
                <c:pt idx="18">
                  <c:v>-4.79315268674983</c:v>
                </c:pt>
                <c:pt idx="19">
                  <c:v>12.185292411602</c:v>
                </c:pt>
                <c:pt idx="20">
                  <c:v>-19.0804299323799</c:v>
                </c:pt>
                <c:pt idx="21">
                  <c:v>-47.1233677810902</c:v>
                </c:pt>
                <c:pt idx="22">
                  <c:v>-26.7129100405238</c:v>
                </c:pt>
                <c:pt idx="23">
                  <c:v>-35.4933124092538</c:v>
                </c:pt>
                <c:pt idx="24">
                  <c:v>-16.159437559031</c:v>
                </c:pt>
                <c:pt idx="25">
                  <c:v>-49.47448320871</c:v>
                </c:pt>
                <c:pt idx="26">
                  <c:v>-29.9561011133314</c:v>
                </c:pt>
                <c:pt idx="27">
                  <c:v>-10.564040128033</c:v>
                </c:pt>
                <c:pt idx="28">
                  <c:v>-8.83670039346603</c:v>
                </c:pt>
                <c:pt idx="29">
                  <c:v>27.2175720871256</c:v>
                </c:pt>
                <c:pt idx="30">
                  <c:v>16.7727996205086</c:v>
                </c:pt>
                <c:pt idx="31">
                  <c:v>-3.83991161413491</c:v>
                </c:pt>
                <c:pt idx="32">
                  <c:v>36.8534158056963</c:v>
                </c:pt>
                <c:pt idx="33">
                  <c:v>-7.05978756609156</c:v>
                </c:pt>
                <c:pt idx="34">
                  <c:v>-29.8140016110546</c:v>
                </c:pt>
                <c:pt idx="35">
                  <c:v>23.7809841723181</c:v>
                </c:pt>
                <c:pt idx="36">
                  <c:v>-10.7327447616727</c:v>
                </c:pt>
                <c:pt idx="37">
                  <c:v>15.3374586923572</c:v>
                </c:pt>
                <c:pt idx="38">
                  <c:v>13.4388980938926</c:v>
                </c:pt>
                <c:pt idx="39">
                  <c:v>0.343651319298472</c:v>
                </c:pt>
                <c:pt idx="40">
                  <c:v>34.9335863233622</c:v>
                </c:pt>
                <c:pt idx="41">
                  <c:v>25.3506579399724</c:v>
                </c:pt>
                <c:pt idx="42">
                  <c:v>18.1834824180834</c:v>
                </c:pt>
                <c:pt idx="43">
                  <c:v>39.140398906505</c:v>
                </c:pt>
                <c:pt idx="44">
                  <c:v>-5.93276031213555</c:v>
                </c:pt>
                <c:pt idx="45">
                  <c:v>8.04658575019286</c:v>
                </c:pt>
                <c:pt idx="46">
                  <c:v>29.7407249386504</c:v>
                </c:pt>
                <c:pt idx="47">
                  <c:v>10.866605256667</c:v>
                </c:pt>
                <c:pt idx="48">
                  <c:v>38.509277176007</c:v>
                </c:pt>
                <c:pt idx="49">
                  <c:v>6.24682507189171</c:v>
                </c:pt>
                <c:pt idx="50">
                  <c:v>25.2182629552752</c:v>
                </c:pt>
                <c:pt idx="51">
                  <c:v>5.84523812608965</c:v>
                </c:pt>
                <c:pt idx="52">
                  <c:v>-0.321911419548483</c:v>
                </c:pt>
                <c:pt idx="53">
                  <c:v>112.662285247659</c:v>
                </c:pt>
                <c:pt idx="54">
                  <c:v>-16.7418411979421</c:v>
                </c:pt>
                <c:pt idx="55">
                  <c:v>22.3831571045417</c:v>
                </c:pt>
              </c:numCache>
            </c:numRef>
          </c:yVal>
          <c:smooth val="0"/>
        </c:ser>
        <c:axId val="28779565"/>
        <c:axId val="7974718"/>
      </c:scatterChart>
      <c:valAx>
        <c:axId val="28779565"/>
        <c:scaling>
          <c:orientation val="minMax"/>
          <c:max val="160"/>
          <c:min val="0"/>
        </c:scaling>
        <c:delete val="0"/>
        <c:axPos val="b"/>
        <c:title>
          <c:tx>
            <c:rich>
              <a:bodyPr rot="0"/>
              <a:lstStyle/>
              <a:p>
                <a:pPr>
                  <a:defRPr b="0" sz="1200" spc="-1" strike="noStrike">
                    <a:solidFill>
                      <a:srgbClr val="000000"/>
                    </a:solidFill>
                    <a:latin typeface="Times New Roman"/>
                  </a:defRPr>
                </a:pPr>
                <a:r>
                  <a:rPr b="0" sz="1200" spc="-1" strike="noStrike">
                    <a:solidFill>
                      <a:srgbClr val="000000"/>
                    </a:solidFill>
                    <a:latin typeface="Times New Roman"/>
                  </a:rPr>
                  <a:t>Volume por parcela observado (m3/ha)</a:t>
                </a:r>
              </a:p>
            </c:rich>
          </c:tx>
          <c:overlay val="0"/>
          <c:spPr>
            <a:noFill/>
            <a:ln>
              <a:noFill/>
            </a:ln>
          </c:spPr>
        </c:title>
        <c:numFmt formatCode="#,##0" sourceLinked="0"/>
        <c:majorTickMark val="out"/>
        <c:minorTickMark val="none"/>
        <c:tickLblPos val="nextTo"/>
        <c:spPr>
          <a:ln w="9360">
            <a:solidFill>
              <a:srgbClr val="878787"/>
            </a:solidFill>
            <a:round/>
          </a:ln>
        </c:spPr>
        <c:txPr>
          <a:bodyPr/>
          <a:lstStyle/>
          <a:p>
            <a:pPr>
              <a:defRPr b="0" sz="1200" spc="-1" strike="noStrike">
                <a:solidFill>
                  <a:srgbClr val="000000"/>
                </a:solidFill>
                <a:latin typeface="Times New Roman"/>
              </a:defRPr>
            </a:pPr>
          </a:p>
        </c:txPr>
        <c:crossAx val="7974718"/>
        <c:crosses val="autoZero"/>
        <c:crossBetween val="midCat"/>
        <c:majorUnit val="20"/>
      </c:valAx>
      <c:valAx>
        <c:axId val="7974718"/>
        <c:scaling>
          <c:orientation val="minMax"/>
          <c:max val="100"/>
          <c:min val="-100"/>
        </c:scaling>
        <c:delete val="0"/>
        <c:axPos val="l"/>
        <c:title>
          <c:tx>
            <c:rich>
              <a:bodyPr rot="-5400000"/>
              <a:lstStyle/>
              <a:p>
                <a:pPr>
                  <a:defRPr b="0" sz="1200" spc="-1" strike="noStrike">
                    <a:solidFill>
                      <a:srgbClr val="000000"/>
                    </a:solidFill>
                    <a:latin typeface="Times New Roman"/>
                  </a:defRPr>
                </a:pPr>
                <a:r>
                  <a:rPr b="0" sz="1200" spc="-1" strike="noStrike">
                    <a:solidFill>
                      <a:srgbClr val="000000"/>
                    </a:solidFill>
                    <a:latin typeface="Times New Roman"/>
                  </a:rPr>
                  <a:t>Erro (%)</a:t>
                </a:r>
              </a:p>
            </c:rich>
          </c:tx>
          <c:overlay val="0"/>
          <c:spPr>
            <a:noFill/>
            <a:ln>
              <a:noFill/>
            </a:ln>
          </c:spPr>
        </c:title>
        <c:numFmt formatCode="#,##0" sourceLinked="0"/>
        <c:majorTickMark val="out"/>
        <c:minorTickMark val="out"/>
        <c:tickLblPos val="nextTo"/>
        <c:spPr>
          <a:ln w="9360">
            <a:solidFill>
              <a:srgbClr val="878787"/>
            </a:solidFill>
            <a:round/>
          </a:ln>
        </c:spPr>
        <c:txPr>
          <a:bodyPr/>
          <a:lstStyle/>
          <a:p>
            <a:pPr>
              <a:defRPr b="0" sz="1200" spc="-1" strike="noStrike">
                <a:solidFill>
                  <a:srgbClr val="000000"/>
                </a:solidFill>
                <a:latin typeface="Times New Roman"/>
              </a:defRPr>
            </a:pPr>
          </a:p>
        </c:txPr>
        <c:crossAx val="28779565"/>
        <c:crosses val="autoZero"/>
        <c:crossBetween val="midCat"/>
        <c:majorUnit val="20"/>
        <c:minorUnit val="10"/>
      </c:valAx>
      <c:spPr>
        <a:solidFill>
          <a:srgbClr val="ffffff"/>
        </a:solidFill>
        <a:ln>
          <a:noFill/>
        </a:ln>
      </c:spPr>
    </c:plotArea>
    <c:plotVisOnly val="1"/>
    <c:dispBlanksAs val="gap"/>
  </c:chart>
  <c:spPr>
    <a:solidFill>
      <a:srgbClr val="ffffff"/>
    </a:solidFill>
    <a:ln w="9360">
      <a:noFill/>
    </a:ln>
  </c:spPr>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8AC89-B051-4FF1-B775-F6C40627F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5045</TotalTime>
  <Application>LibreOffice/6.3.4.2$Windows_X86_64 LibreOffice_project/60da17e045e08f1793c57c00ba83cdfce946d0aa</Application>
  <Pages>19</Pages>
  <Words>4802</Words>
  <Characters>25289</Characters>
  <CharactersWithSpaces>30048</CharactersWithSpaces>
  <Paragraphs>400</Paragraphs>
  <Company>NIT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2016-11-21T11:39:00Z</dcterms:created>
  <dc:creator>IFMT</dc:creator>
  <dc:description/>
  <dc:language>pt-BR</dc:language>
  <cp:lastModifiedBy/>
  <dcterms:modified xsi:type="dcterms:W3CDTF">2020-03-01T22:52:22Z</dcterms:modified>
  <cp:revision>232</cp:revision>
  <dc:subject/>
  <dc:title>ANEXO 1 – Modelo de Projeto de Pesquisa, com Plano de Trabalho e Planilha de Custos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