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Determinar un método para migrar la base de datos desde el entorno relacional a una base de datos NoSQ</w:t>
      </w:r>
      <w:r>
        <w:rPr>
          <w:b/>
          <w:bCs/>
        </w:rPr>
        <w:t xml:space="preserve">L</w:t>
      </w:r>
      <w:r>
        <w:rPr>
          <w:b/>
          <w:bCs/>
        </w:rPr>
      </w:r>
    </w:p>
    <w:p w14:paraId="665E2EEF">
      <w:pPr>
        <w:pBdr/>
        <w:tabs>
          <w:tab w:val="left" w:leader="none" w:pos="171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Para realizar la migración del modelo relacional de "GC Distribuidor" hacia un entorno NoSQL (específicamente orientado a documentos como MongoDB), se propone un enfoque de Desnormalización y Proceso ETL (Extracción, Transformación y Carga) basado en archiv</w:t>
      </w:r>
      <w:r>
        <w:rPr>
          <w:b w:val="0"/>
          <w:bCs w:val="0"/>
          <w:highlight w:val="none"/>
        </w:rPr>
        <w:t xml:space="preserve">os intermedios JSON, estructurado en tres fases:</w:t>
      </w:r>
      <w:r>
        <w:rPr>
          <w:b w:val="0"/>
          <w:bCs w:val="0"/>
          <w:highlight w:val="none"/>
        </w:rPr>
      </w:r>
    </w:p>
    <w:p w14:paraId="45B3FB1F">
      <w:pPr>
        <w:pStyle w:val="668"/>
        <w:numPr>
          <w:ilvl w:val="0"/>
          <w:numId w:val="1"/>
        </w:numPr>
        <w:pBdr/>
        <w:tabs>
          <w:tab w:val="left" w:leader="none" w:pos="1712"/>
        </w:tabs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Reestructuración del Modelo (Desnormalización): </w:t>
      </w:r>
      <w:r>
        <w:rPr>
          <w:b w:val="0"/>
          <w:bCs w:val="0"/>
          <w:highlight w:val="none"/>
        </w:rPr>
        <w:t xml:space="preserve">El paradigma relacional fragmenta la información para evitar redundancias (Ej. separar Ventas, Clientes y Detalle_Ventas). En el modelo NoSQL, el objetivo es favorecer la velocidad de lectura. Por lo tanto, se rediseña el modelo agrupando los datos rela</w:t>
      </w:r>
      <w:r>
        <w:rPr>
          <w:b w:val="0"/>
          <w:bCs w:val="0"/>
          <w:highlight w:val="none"/>
        </w:rPr>
        <w:t xml:space="preserve">cionados en Documentos BSON únicos y jerárquicos.</w:t>
      </w:r>
      <w:r>
        <w:rPr>
          <w:b w:val="0"/>
          <w:bCs w:val="0"/>
          <w:highlight w:val="none"/>
        </w:rPr>
      </w:r>
    </w:p>
    <w:p w14:paraId="07A4210E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Por ejemplo, la colección ventas ahora contendrá la cabecera de la factura, los datos esenciales del cliente como un subdocumento incrustado, y un arreglo (array) con todos los productos de esa transacción.</w:t>
      </w:r>
      <w:r>
        <w:rPr>
          <w:b w:val="0"/>
          <w:bCs w:val="0"/>
          <w:highlight w:val="none"/>
        </w:rPr>
      </w:r>
      <w:r/>
    </w:p>
    <w:p w14:paraId="63FD8D9E">
      <w:pPr>
        <w:pStyle w:val="668"/>
        <w:numPr>
          <w:ilvl w:val="0"/>
          <w:numId w:val="1"/>
        </w:numPr>
        <w:pBdr/>
        <w:tabs>
          <w:tab w:val="left" w:leader="none" w:pos="1712"/>
        </w:tabs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  <w:highlight w:val="none"/>
        </w:rPr>
        <w:t xml:space="preserve">Extracción y Transformación (Capa Relacional): </w:t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  <w:t xml:space="preserve">Utilizando cualquier cliente de administración de bases de datos estándar (como Oracle SQL Developer, Toad o herramientas genéricas), se construyen consultas SQL (usando JOIN) que unifican las tablas relacionales para que coincidan con la nueva estructu</w:t>
      </w:r>
      <w:r>
        <w:rPr>
          <w:b w:val="0"/>
          <w:bCs w:val="0"/>
          <w:highlight w:val="none"/>
        </w:rPr>
        <w:t xml:space="preserve">ra jerárquica planificada.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F177561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El conjunto de resultados de estas consultas se exporta a un formato de texto estructurado y universal, preferiblemente JSON.</w:t>
      </w:r>
      <w:r>
        <w:rPr>
          <w:b w:val="0"/>
          <w:bCs w:val="0"/>
          <w:highlight w:val="none"/>
        </w:rPr>
      </w:r>
      <w:r/>
    </w:p>
    <w:p w14:paraId="360B59DA">
      <w:pPr>
        <w:pStyle w:val="668"/>
        <w:numPr>
          <w:ilvl w:val="0"/>
          <w:numId w:val="1"/>
        </w:numPr>
        <w:pBdr/>
        <w:tabs>
          <w:tab w:val="left" w:leader="none" w:pos="1712"/>
        </w:tabs>
        <w:spacing/>
        <w:ind/>
        <w:rPr>
          <w:b w:val="0"/>
          <w:bCs w:val="0"/>
          <w:highlight w:val="none"/>
        </w:rPr>
      </w:pPr>
      <w:r>
        <w:rPr>
          <w:b/>
          <w:bCs/>
          <w:highlight w:val="none"/>
        </w:rPr>
        <w:t xml:space="preserve">Carga de Datos (Capa NoSQL): </w:t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  <w:t xml:space="preserve">Con los archivos JSON generados listos, se procede a poblar la nueva base de datos NoSQL utilizando las herramientas de importación masiva nativas del motor seleccionado (por ejemplo, ejecutando el comando estándar mongoimport). </w:t>
      </w:r>
      <w:r>
        <w:rPr>
          <w:b w:val="0"/>
          <w:bCs w:val="0"/>
          <w:highlight w:val="none"/>
        </w:rPr>
      </w:r>
    </w:p>
    <w:p w14:paraId="21FCFD31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Este proceso lee los arc</w:t>
      </w:r>
      <w:r>
        <w:rPr>
          <w:b w:val="0"/>
          <w:bCs w:val="0"/>
          <w:highlight w:val="none"/>
        </w:rPr>
        <w:t xml:space="preserve">hivos locales y genera automáticamente las colecciones (clientes, productos, ventas), dejando la base de datos operativa y lista para recibir consultas mediante su Aggregation Framework.</w:t>
      </w:r>
      <w:r>
        <w:rPr>
          <w:b w:val="0"/>
          <w:bCs w:val="0"/>
        </w:rPr>
        <w:tab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DD1DA04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40C59A9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521FB79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023D882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E89F937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E762E81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D22948A">
      <w:pPr>
        <w:pBdr/>
        <w:tabs>
          <w:tab w:val="left" w:leader="none" w:pos="1712"/>
        </w:tabs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12C7A31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Consultas Complejas (Oracle SQL vs MongoDB)</w:t>
      </w:r>
      <w:r>
        <w:rPr>
          <w:b/>
          <w:bCs/>
          <w:highlight w:val="none"/>
        </w:rPr>
      </w:r>
    </w:p>
    <w:p w14:paraId="0EF74C61">
      <w:pPr>
        <w:pStyle w:val="668"/>
        <w:numPr>
          <w:ilvl w:val="0"/>
          <w:numId w:val="2"/>
        </w:num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Total de ingresos generados por cada cliente (Ordenado de mayor a menor)</w:t>
      </w:r>
      <w:r>
        <w:rPr>
          <w:b/>
          <w:bCs/>
          <w:highlight w:val="none"/>
        </w:rPr>
      </w:r>
    </w:p>
    <w:p w14:paraId="73CDD18D">
      <w:pPr>
        <w:pBdr/>
        <w:spacing/>
        <w:ind w:firstLine="0" w:left="709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SQL:</w:t>
      </w:r>
      <w:r>
        <w:rPr>
          <w:b/>
          <w:bCs/>
          <w:highlight w:val="none"/>
        </w:rPr>
      </w:r>
    </w:p>
    <w:p w14:paraId="7F5200C3">
      <w:pPr>
        <w:pBdr/>
        <w:spacing/>
        <w:ind w:firstLine="0" w:left="709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558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5255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355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85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15BC75B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NoSQL:</w:t>
      </w:r>
      <w:r>
        <w:rPr>
          <w:b/>
          <w:bCs/>
          <w:highlight w:val="none"/>
        </w:rPr>
      </w:r>
    </w:p>
    <w:p w14:paraId="6FBB41ED">
      <w:pPr>
        <w:pBdr/>
        <w:spacing/>
        <w:ind w:firstLine="0" w:left="709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8225" cy="29473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353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0" r="0" b="1793"/>
                        <a:stretch/>
                      </pic:blipFill>
                      <pic:spPr bwMode="auto">
                        <a:xfrm flipH="0" flipV="0">
                          <a:off x="0" y="0"/>
                          <a:ext cx="4218224" cy="2947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2.14pt;height:232.07pt;mso-wrap-distance-left:0.00pt;mso-wrap-distance-top:0.00pt;mso-wrap-distance-right:0.00pt;mso-wrap-distance-bottom:0.00pt;z-index:1;" stroked="false">
                <v:imagedata r:id="rId10" o:title="" croptop="0f" cropleft="0f" cropbottom="1175f" cropright="0f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3760122">
      <w:pPr>
        <w:pBdr/>
        <w:spacing/>
        <w:ind w:firstLine="0" w:left="709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DE5789A">
      <w:pPr>
        <w:pBdr/>
        <w:spacing/>
        <w:ind w:firstLine="0" w:left="709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8E6318C">
      <w:pPr>
        <w:pBdr/>
        <w:spacing/>
        <w:ind w:firstLine="0" w:left="709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3D9116F">
      <w:pPr>
        <w:pBdr/>
        <w:spacing/>
        <w:ind w:firstLine="0" w:left="709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7029894">
      <w:pPr>
        <w:pStyle w:val="668"/>
        <w:numPr>
          <w:ilvl w:val="0"/>
          <w:numId w:val="3"/>
        </w:num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Top 5 Productos más vendidos por cantidad de unidades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87F200E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SQL:</w:t>
      </w:r>
      <w:r>
        <w:rPr>
          <w:b/>
          <w:bCs/>
          <w:highlight w:val="none"/>
        </w:rPr>
      </w:r>
    </w:p>
    <w:p w14:paraId="475C768C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655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7457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3655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86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96F692D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NoSQL: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66EA160">
      <w:pPr>
        <w:pBdr/>
        <w:spacing/>
        <w:ind w:firstLine="0" w:left="709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12593" cy="298267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002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612593" cy="2982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3.20pt;height:234.8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052D83D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8A2707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DE7B50E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CA17BD7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4008F2A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A7FF835">
      <w:pPr>
        <w:pStyle w:val="668"/>
        <w:numPr>
          <w:ilvl w:val="0"/>
          <w:numId w:val="5"/>
        </w:num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Alerta de Stock Crítico (Productos cuyo stock disponible cruzó el límite mínimo)</w:t>
      </w:r>
      <w:r>
        <w:rPr>
          <w:b/>
          <w:bCs/>
          <w:highlight w:val="none"/>
        </w:rPr>
      </w:r>
    </w:p>
    <w:p w14:paraId="3C374954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SQL:</w:t>
      </w:r>
      <w:r>
        <w:rPr>
          <w:b/>
          <w:bCs/>
          <w:highlight w:val="none"/>
        </w:rPr>
      </w:r>
    </w:p>
    <w:p w14:paraId="10238134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803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08803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180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71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784B257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NoSQL:</w:t>
      </w:r>
      <w:r>
        <w:rPr>
          <w:b/>
          <w:bCs/>
          <w:highlight w:val="none"/>
        </w:rPr>
      </w:r>
    </w:p>
    <w:p w14:paraId="210DE370">
      <w:pPr>
        <w:pBdr/>
        <w:spacing/>
        <w:ind w:firstLine="0" w:left="709"/>
        <w:jc w:val="left"/>
        <w:rPr>
          <w:b/>
          <w:bCs/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4125" cy="483206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734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704124" cy="483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9.14pt;height:380.4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2F2593"/>
    <w:lvl w:ilvl="0">
      <w:isLgl w:val="false"/>
      <w:lvlJc w:val="righ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CCABC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B818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28271E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7540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2026-07-20T17:14:29Z</dcterms:modified>
</cp:coreProperties>
</file>