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9CE0AC">
      <w:pPr>
        <w:numPr>
          <w:ilvl w:val="0"/>
          <w:numId w:val="0"/>
        </w:numPr>
        <w:ind w:leftChars="0"/>
        <w:rPr>
          <w:rFonts w:hint="default" w:ascii="Times New Roman" w:hAnsi="Times New Roman" w:cs="Times New Roman"/>
          <w:b/>
          <w:bCs/>
          <w:sz w:val="36"/>
          <w:szCs w:val="36"/>
          <w:lang w:val="pt-BR"/>
        </w:rPr>
      </w:pPr>
    </w:p>
    <w:p w14:paraId="46D01BA3">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Cintiladores</w:t>
      </w:r>
    </w:p>
    <w:p w14:paraId="15172493">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p>
    <w:p w14:paraId="741D6E92">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Monografia Guedes:</w:t>
      </w:r>
    </w:p>
    <w:p w14:paraId="732260E0">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DESENVOLVIMENTO DO DETECTOR SCITILE</w:t>
      </w:r>
    </w:p>
    <w:p w14:paraId="78056C69">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O detector SciTile é composto pelas seguintes partes: </w:t>
      </w:r>
    </w:p>
    <w:p w14:paraId="5AF0A61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Mecânica/óptica:  contando  com  uma  estrutura  em  alumínio  responsável  pelo suporte das outras partes, bloqueio da entrada de luz e acoplamento mecânico entre a fibra WLS e a MaPMT. Este acoplamento é viabilizado pela construção de um suporte de polietileno para alojar a MaPMT;</w:t>
      </w:r>
    </w:p>
    <w:p w14:paraId="290BC32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Tiras cintilantes: responsável pela detecção de partículas;</w:t>
      </w:r>
    </w:p>
    <w:p w14:paraId="59C6CA1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 Fibras wavelength shifter (WLS): responsável pela condução dos fótons gerados pelos cintiladores plásticos até a MaPMT. É também responsável pela mudança do comprimento de onda gerado pelos cintiladores em outro mais adequado a MaPMT (descrita a seguir);</w:t>
      </w:r>
    </w:p>
    <w:p w14:paraId="24B8A8D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MaPMT  (Multianode  Photomultiplier  Tubes):  responsável  pela  conversão  dos fótons em corrente para ser enviada e tratada pelo circuito;</w:t>
      </w:r>
    </w:p>
    <w:p w14:paraId="0D48EDC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Eletrônica: composta por 16 circuitos analógicos (circuito amplificador e filtros) e 16 circuitos digitais (circuito discriminador).</w:t>
      </w:r>
    </w:p>
    <w:p w14:paraId="473A313A">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4.1.    TIRAS CINTILANTES</w:t>
      </w:r>
    </w:p>
    <w:p w14:paraId="25727C7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tiras cintilantes são compostas por materiais cintiladores que geram  fótons na passagem de uma partícula atômica. Tais tiras possuem um película refletiva em sua estrutura, fazendo com que o fóton gerado seja refletido até chegar na fibra WLS, como mostrado na Figura 7.</w:t>
      </w:r>
    </w:p>
    <w:p w14:paraId="1E331743">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Figura 7: Representação da tira cintiladora plástica e da fibra WLS [9].24</w:t>
      </w:r>
    </w:p>
    <w:p w14:paraId="3AB7FFEF">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 xml:space="preserve">4.2.    FIBRA WLS </w:t>
      </w:r>
    </w:p>
    <w:p w14:paraId="49E2CE6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xml:space="preserve">As fibras wavelength shifter (WLS) são compostas por um material fosforescente que absorve fótons de altas frequências e os emite em baixa frequência. Estes materiais costumam absorver um fóton e emitir múltiplos fótons de baixa energia. Dessa forma, esse material pode ser usado para aumentar a eficiência da fotomultiplicadora conectada à ele [10]. </w:t>
      </w:r>
    </w:p>
    <w:p w14:paraId="5618A88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Figura 8: Fotografia das fibras WLS (wavelength shifter) [11].</w:t>
      </w:r>
    </w:p>
    <w:p w14:paraId="60CBF6B8">
      <w:pPr>
        <w:numPr>
          <w:ilvl w:val="0"/>
          <w:numId w:val="0"/>
        </w:numPr>
        <w:ind w:leftChars="0"/>
        <w:rPr>
          <w:rFonts w:hint="default" w:ascii="Times New Roman" w:hAnsi="Times New Roman"/>
          <w:sz w:val="24"/>
          <w:szCs w:val="24"/>
          <w:lang w:val="pt-BR"/>
        </w:rPr>
      </w:pPr>
    </w:p>
    <w:p w14:paraId="7576760C">
      <w:pPr>
        <w:numPr>
          <w:ilvl w:val="0"/>
          <w:numId w:val="0"/>
        </w:numPr>
        <w:ind w:leftChars="0"/>
        <w:rPr>
          <w:rFonts w:hint="default" w:ascii="Times New Roman" w:hAnsi="Times New Roman"/>
          <w:sz w:val="24"/>
          <w:szCs w:val="24"/>
          <w:lang w:val="pt-BR"/>
        </w:rPr>
      </w:pPr>
    </w:p>
    <w:p w14:paraId="007BAD5E">
      <w:pPr>
        <w:numPr>
          <w:ilvl w:val="0"/>
          <w:numId w:val="0"/>
        </w:numPr>
        <w:ind w:leftChars="0"/>
        <w:rPr>
          <w:rFonts w:hint="default" w:ascii="Times New Roman" w:hAnsi="Times New Roman"/>
          <w:sz w:val="24"/>
          <w:szCs w:val="24"/>
          <w:lang w:val="pt-BR"/>
        </w:rPr>
      </w:pPr>
    </w:p>
    <w:p w14:paraId="1B7E468D">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Tiras plásticas cintilantes (SciTiles)</w:t>
      </w:r>
    </w:p>
    <w:p w14:paraId="2DFB6D9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 emissão de luz como consequência da absorção de energia é propriedade presente em ampla gama de materiais, denominados cintiladores. Parte da energia depositada por partículas que os atravessam é absorvida pelos elétrons de seus átomos, o que os leva a níveis orbitais mais energéticos, porém, instáveis. O retorno destes elétrons a seus níveis originais ocorre na forma da emissão de um fóton.</w:t>
      </w:r>
    </w:p>
    <w:p w14:paraId="35A76357">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Espera-se que um material cintilador utilizado em detecção de partículas [15] possua as seguintes propriedades:</w:t>
      </w:r>
    </w:p>
    <w:p w14:paraId="6ECDE13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A quantidade de fótons gerados por cintilação deve ser proporcional a energia absorvida;</w:t>
      </w:r>
    </w:p>
    <w:p w14:paraId="5A1BD09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Deve ser capaz de converter, com alta eficiência quântica, a energia cinética das partículas carregadas que o atravessam;</w:t>
      </w:r>
    </w:p>
    <w:p w14:paraId="73322CEB">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Deve ser transparente ao comprimento de onda do fóton emitido, de modo que a luz possa ser transmitida a outros dispositivos;</w:t>
      </w:r>
    </w:p>
    <w:p w14:paraId="73DBC6E0">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Para que seja viável a contagem de partículas sem grandes atrasos o processo de emissão deve ter curta duração;</w:t>
      </w:r>
    </w:p>
    <w:p w14:paraId="4963B336">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O material deve possuir boa qualidade óptica e ser viável para produção nas dimensões necessárias em um detector;</w:t>
      </w:r>
    </w:p>
    <w:p w14:paraId="20376A52">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tiras cintilantes utilizadas neste projeto foram desenvolvidas pelo Fermilab (Fermi National Accelerator Laboratory) e contém um orifício para que seja alocada a fibra óptica WLS. Possuem uma casca reflexiva que faz com que os fótons gerados sejam, com alta probabilidade, conduzidos até a fibra óptica WLS e são opacas para absorver luz no espectro visível. A construção da tira e a ilustração deste processo podem ser vistos na Figura 21, onde as unidades encontram-se em milímetros.</w:t>
      </w:r>
    </w:p>
    <w:p w14:paraId="67CDB037">
      <w:pPr>
        <w:numPr>
          <w:ilvl w:val="0"/>
          <w:numId w:val="0"/>
        </w:numPr>
        <w:ind w:leftChars="0"/>
        <w:rPr>
          <w:rFonts w:hint="default" w:ascii="Times New Roman" w:hAnsi="Times New Roman"/>
          <w:sz w:val="24"/>
          <w:szCs w:val="24"/>
          <w:lang w:val="pt-BR"/>
        </w:rPr>
      </w:pPr>
    </w:p>
    <w:p w14:paraId="67E228D9">
      <w:pPr>
        <w:numPr>
          <w:ilvl w:val="0"/>
          <w:numId w:val="0"/>
        </w:numPr>
        <w:ind w:leftChars="0"/>
        <w:rPr>
          <w:rFonts w:hint="default" w:ascii="Times New Roman" w:hAnsi="Times New Roman"/>
          <w:b/>
          <w:bCs/>
          <w:sz w:val="24"/>
          <w:szCs w:val="24"/>
          <w:lang w:val="pt-BR"/>
        </w:rPr>
      </w:pPr>
      <w:r>
        <w:rPr>
          <w:rFonts w:hint="default" w:ascii="Times New Roman" w:hAnsi="Times New Roman"/>
          <w:b/>
          <w:bCs/>
          <w:sz w:val="24"/>
          <w:szCs w:val="24"/>
          <w:lang w:val="pt-BR"/>
        </w:rPr>
        <w:t>Fibra óptica Wavelength Shifter</w:t>
      </w:r>
    </w:p>
    <w:p w14:paraId="6876F1F5">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As fibras ópticas wavelength shifter (WLS) modelo Y-11(175)MSJ utilizadas neste projeto são produzidas pela KURARAY com material fluorescente, capaz de absorver os fótons produzidos em frequências mais altas pela tira cintilante e reemiti-los em frequência mais baixa, numa região espectral onde há maior rendimento da foto multiplicadora. O gráfico da Figura 22 relaciona a função de transferência desta transformação de frequência. Além disto, a absorção de um fóton de energia mais alta pelo material da fibra óptica emite múltiplos fótons de energia mais baixa, ajudando também a aumentar a eficiência do sistema de detecção de partículas. A Figura 23 exibe parte das fibras ópticas utilizadas neste projeto.</w:t>
      </w:r>
    </w:p>
    <w:p w14:paraId="40BADB14">
      <w:pPr>
        <w:numPr>
          <w:ilvl w:val="0"/>
          <w:numId w:val="0"/>
        </w:numPr>
        <w:ind w:leftChars="0"/>
        <w:rPr>
          <w:rFonts w:hint="default" w:ascii="Times New Roman" w:hAnsi="Times New Roman"/>
          <w:sz w:val="24"/>
          <w:szCs w:val="24"/>
          <w:lang w:val="pt-BR"/>
        </w:rPr>
      </w:pPr>
    </w:p>
    <w:p w14:paraId="08082060">
      <w:pPr>
        <w:numPr>
          <w:ilvl w:val="0"/>
          <w:numId w:val="0"/>
        </w:numPr>
        <w:ind w:leftChars="0"/>
        <w:rPr>
          <w:rFonts w:hint="default" w:ascii="Times New Roman" w:hAnsi="Times New Roman"/>
          <w:sz w:val="24"/>
          <w:szCs w:val="24"/>
          <w:lang w:val="pt-BR"/>
        </w:rPr>
      </w:pPr>
    </w:p>
    <w:p w14:paraId="2C101F0C">
      <w:pPr>
        <w:numPr>
          <w:ilvl w:val="0"/>
          <w:numId w:val="0"/>
        </w:numPr>
        <w:ind w:leftChars="0"/>
        <w:rPr>
          <w:rFonts w:hint="default" w:ascii="Times New Roman" w:hAnsi="Times New Roman"/>
          <w:sz w:val="24"/>
          <w:szCs w:val="24"/>
          <w:lang w:val="pt-BR"/>
        </w:rPr>
      </w:pPr>
    </w:p>
    <w:p w14:paraId="6B8EA996">
      <w:pPr>
        <w:numPr>
          <w:ilvl w:val="0"/>
          <w:numId w:val="0"/>
        </w:numPr>
        <w:ind w:leftChars="0"/>
        <w:rPr>
          <w:rFonts w:hint="default" w:ascii="Times New Roman" w:hAnsi="Times New Roman"/>
          <w:sz w:val="24"/>
          <w:szCs w:val="24"/>
          <w:lang w:val="pt-BR"/>
        </w:rPr>
      </w:pPr>
      <w:r>
        <w:rPr>
          <w:rFonts w:hint="default" w:ascii="Times New Roman" w:hAnsi="Times New Roman"/>
          <w:b/>
          <w:bCs/>
          <w:sz w:val="24"/>
          <w:szCs w:val="24"/>
          <w:lang w:val="pt-BR"/>
        </w:rPr>
        <w:t>Cintiladores Plasticos e Fibras Wavelength Shifter</w:t>
      </w:r>
    </w:p>
    <w:p w14:paraId="24EE4F1E">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Materiais cintiladores podem ser compostos por diversos materiais, sendo eles orgânicos ou inorgânicos.  Materiais orgânicos, como os utilizados nos detectores do projeto, tem a característica de terem seus elétrons excitados e desexcitados de maneira quase que instantânea, levando ate 10ns nesse processo chamado de fluorescência. Materiais inorgânicos, como cristais, tem a característica de levar mais tempo nesse processo de excitação e desexcitacao, podendo ser na ordem de milissegundos ou ate segundo, em alguns casos, e esse processo e chamado de fosforescência.</w:t>
      </w:r>
    </w:p>
    <w:p w14:paraId="067B116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Os cintiladores utilizados nos detectores deste projeto foram desenvolvidos pelo Fermilab (Fermi National Accelerator Laboratory ) e são feitos de um material fluorescente, cujos átomos emitem fótons na faixa espectral da luz azul ao serem ionizados pelo pulso de campo elétrico de uma partícula ionizada, no nosso caso, raios cósmicos. Uma fibra Wavelength Shifter (WLS) modelo Y-11(175)MSJ da KURARAY, e acoplada ao cintilador, absorvendo os fótons de mais alta energia (luz azul) e emitindo múltiplos fótons de mais baixa energia (luz verde). Esse ganho em numero de fótons verdes aumenta a eficiência do sistema de detecção, já que alguns fótons são perdidos no caminho ate a fotomultiplicadora [21]. Diferente das fibras ópticas convencionais de transmissão de dados, essas fibras WLS absorvem fótons que incidem ortogonalmente em sua estrutura e guia os fótons emitidos ate suas extremidades. A Figura 2.7 apresenta uma imagem do conjunto.</w:t>
      </w:r>
    </w:p>
    <w:p w14:paraId="31CBF48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Cada cintilador e coberto por material opaco para bloquear a luz externa. O interior da tira e fibra WLS e revestido com um material reflexivo que faz com que os fótons incidentes reflitam ate chegar nas células da fotomultiplicadora, gerando os pulsos de corrente. A observação deste fóton em dispositivos fotomultiplicadores consiste então na assinatura da passagem das partículas pelo detector. Os materiais cintiladores utilizados precisam conter as seguintes propriedades:</w:t>
      </w:r>
    </w:p>
    <w:p w14:paraId="414561F4">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Converter a  energia  cinética  de partículas  carregadas  em luz com alta eficiência quântica;</w:t>
      </w:r>
    </w:p>
    <w:p w14:paraId="2D87EB8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Ser transparente, de modo que a luz possa ser transmitida a um dispositivo capaz de capta-la;</w:t>
      </w:r>
    </w:p>
    <w:p w14:paraId="3E93B50C">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 O processo de emissão deve ter curta duração.</w:t>
      </w:r>
    </w:p>
    <w:p w14:paraId="339AD1CD">
      <w:pPr>
        <w:numPr>
          <w:ilvl w:val="0"/>
          <w:numId w:val="0"/>
        </w:numPr>
        <w:ind w:leftChars="0"/>
        <w:rPr>
          <w:rFonts w:hint="default" w:ascii="Times New Roman" w:hAnsi="Times New Roman"/>
          <w:sz w:val="24"/>
          <w:szCs w:val="24"/>
          <w:lang w:val="pt-BR"/>
        </w:rPr>
      </w:pPr>
    </w:p>
    <w:p w14:paraId="760A249F">
      <w:pPr>
        <w:numPr>
          <w:ilvl w:val="0"/>
          <w:numId w:val="0"/>
        </w:numPr>
        <w:ind w:leftChars="0"/>
        <w:rPr>
          <w:rFonts w:hint="default" w:ascii="Times New Roman" w:hAnsi="Times New Roman"/>
          <w:sz w:val="24"/>
          <w:szCs w:val="24"/>
          <w:lang w:val="pt-BR"/>
        </w:rPr>
      </w:pPr>
    </w:p>
    <w:p w14:paraId="38788CB3">
      <w:pPr>
        <w:numPr>
          <w:ilvl w:val="0"/>
          <w:numId w:val="0"/>
        </w:numPr>
        <w:ind w:leftChars="0"/>
        <w:rPr>
          <w:rFonts w:hint="default" w:ascii="Times New Roman" w:hAnsi="Times New Roman"/>
          <w:sz w:val="24"/>
          <w:szCs w:val="24"/>
          <w:lang w:val="pt-BR"/>
        </w:rPr>
      </w:pPr>
    </w:p>
    <w:p w14:paraId="761AF5CD">
      <w:pPr>
        <w:numPr>
          <w:ilvl w:val="0"/>
          <w:numId w:val="0"/>
        </w:numPr>
        <w:ind w:leftChars="0"/>
        <w:rPr>
          <w:rFonts w:hint="default" w:ascii="Times New Roman" w:hAnsi="Times New Roman"/>
          <w:sz w:val="24"/>
          <w:szCs w:val="24"/>
          <w:lang w:val="pt-BR"/>
        </w:rPr>
      </w:pPr>
    </w:p>
    <w:p w14:paraId="21401BA7">
      <w:pPr>
        <w:numPr>
          <w:ilvl w:val="0"/>
          <w:numId w:val="0"/>
        </w:numPr>
        <w:ind w:leftChars="0"/>
        <w:rPr>
          <w:rFonts w:hint="default" w:ascii="Times New Roman" w:hAnsi="Times New Roman"/>
          <w:sz w:val="24"/>
          <w:szCs w:val="24"/>
          <w:lang w:val="pt-BR"/>
        </w:rPr>
      </w:pPr>
    </w:p>
    <w:p w14:paraId="437283E1">
      <w:pPr>
        <w:numPr>
          <w:ilvl w:val="0"/>
          <w:numId w:val="0"/>
        </w:numPr>
        <w:ind w:leftChars="0"/>
        <w:rPr>
          <w:rFonts w:hint="default" w:ascii="Times New Roman" w:hAnsi="Times New Roman"/>
          <w:sz w:val="24"/>
          <w:szCs w:val="24"/>
          <w:lang w:val="pt-BR"/>
        </w:rPr>
      </w:pPr>
    </w:p>
    <w:p w14:paraId="29B720A6">
      <w:pPr>
        <w:numPr>
          <w:ilvl w:val="0"/>
          <w:numId w:val="0"/>
        </w:numPr>
        <w:ind w:leftChars="0"/>
        <w:rPr>
          <w:rFonts w:hint="default" w:ascii="Times New Roman" w:hAnsi="Times New Roman"/>
          <w:sz w:val="24"/>
          <w:szCs w:val="24"/>
          <w:lang w:val="pt-BR"/>
        </w:rPr>
      </w:pPr>
    </w:p>
    <w:p w14:paraId="065CB9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w:t>
      </w:r>
      <w:bookmarkStart w:id="0" w:name="_GoBack"/>
      <w:bookmarkEnd w:id="0"/>
      <w:r>
        <w:rPr>
          <w:rFonts w:hint="default" w:ascii="Times New Roman" w:hAnsi="Times New Roman"/>
          <w:sz w:val="24"/>
          <w:szCs w:val="24"/>
          <w:lang w:val="pt-BR"/>
        </w:rPr>
        <w:t>rons, elevando-os a níveis orbitais de maior energia, porém instáveis. Ao retornarem aos orbitais originais, a energia adicional é liberada através da emissão de um fóton.</w:t>
      </w:r>
    </w:p>
    <w:p w14:paraId="6C89C867">
      <w:pPr>
        <w:numPr>
          <w:ilvl w:val="0"/>
          <w:numId w:val="0"/>
        </w:numPr>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ind w:leftChars="0"/>
        <w:rPr>
          <w:rFonts w:hint="default" w:ascii="Times New Roman" w:hAnsi="Times New Roman"/>
          <w:sz w:val="24"/>
          <w:szCs w:val="24"/>
          <w:lang w:val="pt-BR"/>
        </w:rPr>
      </w:pPr>
    </w:p>
    <w:p w14:paraId="6CE720B7">
      <w:pPr>
        <w:numPr>
          <w:ilvl w:val="0"/>
          <w:numId w:val="0"/>
        </w:numPr>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6688F21D">
      <w:pPr>
        <w:numPr>
          <w:ilvl w:val="0"/>
          <w:numId w:val="0"/>
        </w:numPr>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5DCFE0F6">
      <w:pPr>
        <w:numPr>
          <w:ilvl w:val="0"/>
          <w:numId w:val="0"/>
        </w:numPr>
        <w:ind w:leftChars="0"/>
        <w:rPr>
          <w:rFonts w:hint="default" w:ascii="Times New Roman" w:hAnsi="Times New Roman"/>
          <w:sz w:val="24"/>
          <w:szCs w:val="24"/>
          <w:lang w:val="pt-BR"/>
        </w:rPr>
      </w:pPr>
    </w:p>
    <w:p w14:paraId="63A81926">
      <w:pPr>
        <w:numPr>
          <w:ilvl w:val="0"/>
          <w:numId w:val="0"/>
        </w:numPr>
        <w:ind w:leftChars="0"/>
        <w:rPr>
          <w:rFonts w:hint="default" w:ascii="Times New Roman" w:hAnsi="Times New Roman"/>
          <w:sz w:val="24"/>
          <w:szCs w:val="24"/>
          <w:lang w:val="pt-BR"/>
        </w:rPr>
      </w:pPr>
    </w:p>
    <w:p w14:paraId="5F8E5101">
      <w:pPr>
        <w:numPr>
          <w:ilvl w:val="0"/>
          <w:numId w:val="0"/>
        </w:numPr>
        <w:ind w:leftChars="0"/>
        <w:rPr>
          <w:rFonts w:hint="default" w:ascii="Times New Roman" w:hAnsi="Times New Roman"/>
          <w:sz w:val="24"/>
          <w:szCs w:val="24"/>
          <w:lang w:val="pt-BR"/>
        </w:rPr>
      </w:pPr>
    </w:p>
    <w:p w14:paraId="7DD96D46">
      <w:pPr>
        <w:numPr>
          <w:ilvl w:val="0"/>
          <w:numId w:val="0"/>
        </w:numPr>
        <w:ind w:leftChars="0"/>
        <w:rPr>
          <w:rFonts w:hint="default" w:ascii="Times New Roman" w:hAnsi="Times New Roman"/>
          <w:sz w:val="24"/>
          <w:szCs w:val="24"/>
          <w:lang w:val="pt-BR"/>
        </w:rPr>
      </w:pPr>
    </w:p>
    <w:p w14:paraId="2C4144D0">
      <w:pPr>
        <w:numPr>
          <w:ilvl w:val="0"/>
          <w:numId w:val="0"/>
        </w:numPr>
        <w:ind w:leftChars="0"/>
        <w:rPr>
          <w:rFonts w:hint="default" w:ascii="Times New Roman" w:hAnsi="Times New Roman"/>
          <w:sz w:val="24"/>
          <w:szCs w:val="24"/>
          <w:lang w:val="pt-BR"/>
        </w:rPr>
      </w:pPr>
    </w:p>
    <w:p w14:paraId="588272BE">
      <w:pPr>
        <w:numPr>
          <w:ilvl w:val="0"/>
          <w:numId w:val="0"/>
        </w:numPr>
        <w:ind w:leftChars="0"/>
        <w:rPr>
          <w:rFonts w:hint="default" w:ascii="Times New Roman" w:hAnsi="Times New Roman"/>
          <w:sz w:val="24"/>
          <w:szCs w:val="24"/>
          <w:lang w:val="pt-BR"/>
        </w:rPr>
      </w:pPr>
    </w:p>
    <w:p w14:paraId="111B89D5">
      <w:pPr>
        <w:numPr>
          <w:ilvl w:val="0"/>
          <w:numId w:val="0"/>
        </w:numPr>
        <w:ind w:leftChars="0"/>
        <w:rPr>
          <w:rFonts w:hint="default" w:ascii="Times New Roman" w:hAnsi="Times New Roman"/>
          <w:sz w:val="24"/>
          <w:szCs w:val="24"/>
          <w:lang w:val="pt-BR"/>
        </w:rPr>
      </w:pPr>
    </w:p>
    <w:p w14:paraId="5E6F2580">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ind w:leftChars="0"/>
        <w:rPr>
          <w:rFonts w:hint="default" w:ascii="Times New Roman" w:hAnsi="Times New Roman"/>
          <w:sz w:val="24"/>
          <w:szCs w:val="24"/>
          <w:lang w:val="pt-BR"/>
        </w:rPr>
      </w:pPr>
    </w:p>
    <w:p w14:paraId="223AD073">
      <w:pPr>
        <w:numPr>
          <w:ilvl w:val="0"/>
          <w:numId w:val="0"/>
        </w:numPr>
        <w:ind w:leftChars="0"/>
        <w:rPr>
          <w:rFonts w:hint="default" w:ascii="Times New Roman" w:hAnsi="Times New Roman"/>
          <w:sz w:val="24"/>
          <w:szCs w:val="24"/>
          <w:lang w:val="pt-BR"/>
        </w:rPr>
      </w:pPr>
      <w:r>
        <w:drawing>
          <wp:inline distT="0" distB="0" distL="114300" distR="114300">
            <wp:extent cx="5269230" cy="3512820"/>
            <wp:effectExtent l="0" t="0" r="7620" b="1143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5269230" cy="3512820"/>
                    </a:xfrm>
                    <a:prstGeom prst="rect">
                      <a:avLst/>
                    </a:prstGeom>
                    <a:noFill/>
                    <a:ln>
                      <a:noFill/>
                    </a:ln>
                  </pic:spPr>
                </pic:pic>
              </a:graphicData>
            </a:graphic>
          </wp:inline>
        </w:drawing>
      </w:r>
    </w:p>
    <w:p w14:paraId="10C91CAE">
      <w:pPr>
        <w:numPr>
          <w:ilvl w:val="0"/>
          <w:numId w:val="0"/>
        </w:numPr>
        <w:jc w:val="center"/>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408195C2">
      <w:pPr>
        <w:numPr>
          <w:ilvl w:val="0"/>
          <w:numId w:val="0"/>
        </w:numPr>
        <w:jc w:val="left"/>
        <w:rPr>
          <w:rFonts w:hint="default" w:ascii="Times New Roman" w:hAnsi="Times New Roman"/>
          <w:sz w:val="24"/>
          <w:szCs w:val="24"/>
          <w:lang w:val="pt-BR"/>
        </w:rPr>
      </w:pPr>
    </w:p>
    <w:p w14:paraId="42DD17FB">
      <w:pPr>
        <w:numPr>
          <w:ilvl w:val="0"/>
          <w:numId w:val="0"/>
        </w:numPr>
        <w:ind w:left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B93D011">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inline>
        </w:drawing>
      </w:r>
    </w:p>
    <w:p w14:paraId="73205801">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273AFD6">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1F765AFB">
      <w:pPr>
        <w:spacing w:line="360" w:lineRule="auto"/>
        <w:jc w:val="center"/>
      </w:pPr>
      <w:r>
        <w:drawing>
          <wp:inline distT="0" distB="0" distL="114300" distR="114300">
            <wp:extent cx="4218305" cy="2673985"/>
            <wp:effectExtent l="0" t="0" r="10795" b="1206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446FC795">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61F093FB">
      <w:pPr>
        <w:spacing w:line="360" w:lineRule="auto"/>
        <w:jc w:val="center"/>
        <w:rPr>
          <w:rFonts w:hint="default" w:ascii="Times New Roman" w:hAnsi="Times New Roman" w:cs="Times New Roman"/>
          <w:b w:val="0"/>
          <w:i w:val="0"/>
          <w:sz w:val="24"/>
          <w:szCs w:val="24"/>
          <w:vertAlign w:val="baseline"/>
          <w:lang w:val="pt-BR" w:eastAsia="en-US" w:bidi="ar-SA"/>
        </w:rPr>
      </w:pPr>
    </w:p>
    <w:p w14:paraId="1339D35D">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2023EC90">
      <w:pPr>
        <w:spacing w:line="360" w:lineRule="auto"/>
        <w:jc w:val="center"/>
        <m:rP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m:r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m:r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m:r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m:r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m:r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m:rPr/>
                <w:rPr>
                  <w:rFonts w:hint="default" w:ascii="Cambria Math" w:hAnsi="Cambria Math" w:cs="Cambria Math"/>
                  <w:sz w:val="24"/>
                  <w:szCs w:val="24"/>
                  <w:vertAlign w:val="baseline"/>
                  <w:lang w:val="pt-BR" w:eastAsia="en-US" w:bidi="ar-SA"/>
                </w:rPr>
              </m:ctrlPr>
            </m:sub>
          </m:sSub>
        </m:oMath>
      </m:oMathPara>
    </w:p>
    <w:p w14:paraId="4402E755">
      <w:pPr>
        <w:spacing w:line="360" w:lineRule="auto"/>
        <w:jc w:val="left"/>
        <m:rPr/>
        <w:rPr>
          <w:rFonts w:hint="default" w:ascii="Times New Roman" w:hAnsi="Times New Roman" w:cs="Times New Roman"/>
          <w:b w:val="0"/>
          <w:i w:val="0"/>
          <w:sz w:val="24"/>
          <w:szCs w:val="24"/>
          <w:vertAlign w:val="baseline"/>
          <w:lang w:val="pt-BR" w:eastAsia="en-US" w:bidi="ar-SA"/>
        </w:rPr>
      </w:pPr>
      <w:r>
        <m:rP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m:rP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164B07B6">
      <w:pPr>
        <w:spacing w:line="360" w:lineRule="auto"/>
        <w:jc w:val="left"/>
        <m:rPr/>
        <w:rPr>
          <w:rFonts w:hint="default" w:ascii="Times New Roman" w:hAnsi="Times New Roman" w:cs="Times New Roman"/>
          <w:b w:val="0"/>
          <w:i w:val="0"/>
          <w:sz w:val="24"/>
          <w:szCs w:val="24"/>
          <w:vertAlign w:val="baseline"/>
          <w:lang w:val="pt-BR" w:eastAsia="en-US" w:bidi="ar-SA"/>
        </w:rPr>
      </w:pPr>
      <w:r>
        <m:rPr/>
        <w:rPr>
          <w:rFonts w:hint="default" w:ascii="Times New Roman" w:hAnsi="Times New Roman" w:cs="Times New Roman"/>
          <w:b w:val="0"/>
          <w:i w:val="0"/>
          <w:sz w:val="24"/>
          <w:szCs w:val="24"/>
          <w:vertAlign w:val="baseline"/>
          <w:lang w:val="pt-BR" w:eastAsia="en-US" w:bidi="ar-SA"/>
        </w:rPr>
        <w:tab/>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6D25C039">
      <w:pPr>
        <w:spacing w:line="360" w:lineRule="auto"/>
        <w:jc w:val="left"/>
        <m:rPr/>
        <w:rPr>
          <w:rFonts w:hint="default" w:ascii="Times New Roman" w:hAnsi="Times New Roman" w:cs="Times New Roman"/>
          <w:b w:val="0"/>
          <w:i w:val="0"/>
          <w:sz w:val="24"/>
          <w:szCs w:val="24"/>
          <w:vertAlign w:val="baseline"/>
          <w:lang w:val="pt-BR" w:eastAsia="en-US" w:bidi="ar-SA"/>
        </w:rPr>
      </w:pPr>
    </w:p>
    <w:p w14:paraId="01E869EB">
      <w:pPr>
        <w:spacing w:line="360" w:lineRule="auto"/>
        <w:jc w:val="center"/>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7E268D5D">
      <w:pPr>
        <w:spacing w:line="360" w:lineRule="auto"/>
        <w:jc w:val="center"/>
        <m:rPr/>
        <w:rPr>
          <w:rFonts w:hint="default" w:ascii="Times New Roman" w:hAnsi="Times New Roman" w:cs="Times New Roman"/>
          <w:b w:val="0"/>
          <w:i w:val="0"/>
          <w:sz w:val="24"/>
          <w:szCs w:val="24"/>
          <w:vertAlign w:val="baseline"/>
          <w:lang w:val="pt-BR" w:eastAsia="en-US" w:bidi="ar-SA"/>
        </w:rPr>
      </w:pPr>
      <w:r>
        <m:rP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39C2C0B9">
      <w:pPr>
        <w:spacing w:line="360" w:lineRule="auto"/>
        <w:jc w:val="left"/>
        <m:rPr/>
        <w:rPr>
          <w:rFonts w:hint="default" w:ascii="Times New Roman" w:hAnsi="Times New Roman" w:cs="Times New Roman"/>
          <w:b w:val="0"/>
          <w:i w:val="0"/>
          <w:sz w:val="24"/>
          <w:szCs w:val="24"/>
          <w:vertAlign w:val="baseline"/>
          <w:lang w:val="pt-BR" w:eastAsia="en-US" w:bidi="ar-SA"/>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4D8E"/>
    <w:rsid w:val="0A4D784C"/>
    <w:rsid w:val="0A695198"/>
    <w:rsid w:val="0B694E87"/>
    <w:rsid w:val="0C9E158F"/>
    <w:rsid w:val="11DD6CF9"/>
    <w:rsid w:val="1B660C53"/>
    <w:rsid w:val="1EB7274A"/>
    <w:rsid w:val="247E5D2A"/>
    <w:rsid w:val="26E00E41"/>
    <w:rsid w:val="2B341190"/>
    <w:rsid w:val="2F6E08D9"/>
    <w:rsid w:val="3171335F"/>
    <w:rsid w:val="354D13D9"/>
    <w:rsid w:val="3861218A"/>
    <w:rsid w:val="3C503BF3"/>
    <w:rsid w:val="3F466E7C"/>
    <w:rsid w:val="48E2294C"/>
    <w:rsid w:val="4AAF7681"/>
    <w:rsid w:val="4BC86CDF"/>
    <w:rsid w:val="554C6E2D"/>
    <w:rsid w:val="57FE0D55"/>
    <w:rsid w:val="592D01C1"/>
    <w:rsid w:val="5F053843"/>
    <w:rsid w:val="63783FBB"/>
    <w:rsid w:val="66457A04"/>
    <w:rsid w:val="66E2139D"/>
    <w:rsid w:val="68292FA3"/>
    <w:rsid w:val="6BC8484C"/>
    <w:rsid w:val="713A3D22"/>
    <w:rsid w:val="73304DE5"/>
    <w:rsid w:val="75745EA0"/>
    <w:rsid w:val="77160403"/>
    <w:rsid w:val="787E2B4C"/>
    <w:rsid w:val="7F656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0</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2024-05-31T00:42:00Z</dcterms:created>
  <dc:creator>Lucas</dc:creator>
  <cp:lastModifiedBy>Lucas</cp:lastModifiedBy>
  <dcterms:modified xsi:type="dcterms:W3CDTF">2024-06-23T20:36:16Z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1046-12.2.0.17119</vt:lpwstr>
  </property>
  <property fmtid="{D5CDD505-2E9C-101B-9397-08002B2CF9AE}" pid="3" name="ICV">
    <vt:lpwstr>CCC73864ACDC40DA9E59F60E90B1EF82_12</vt:lpwstr>
  </property>
</Properties>
</file>