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EB6026B" w:rsidR="00E37B08" w:rsidRPr="00CA443B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 xml:space="preserve">”. </w:t>
      </w:r>
      <w:r w:rsidR="00CA443B">
        <w:rPr>
          <w:rFonts w:ascii="Arial" w:hAnsi="Arial" w:cs="Arial"/>
          <w:noProof/>
        </w:rPr>
        <w:t>Tipos de input:</w:t>
      </w:r>
    </w:p>
    <w:p w14:paraId="25A97BAB" w14:textId="1610C89B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text</w:t>
      </w:r>
    </w:p>
    <w:p w14:paraId="5477E5CD" w14:textId="445EC3F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password</w:t>
      </w:r>
    </w:p>
    <w:p w14:paraId="1CECA8D2" w14:textId="0187DEB8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submit</w:t>
      </w:r>
    </w:p>
    <w:p w14:paraId="5343907B" w14:textId="627B7606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reset</w:t>
      </w:r>
    </w:p>
    <w:p w14:paraId="356BBEEA" w14:textId="13DBAA5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number</w:t>
      </w:r>
    </w:p>
    <w:p w14:paraId="6D235BF8" w14:textId="74E5F264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month</w:t>
      </w:r>
    </w:p>
    <w:p w14:paraId="3490C9E9" w14:textId="2746422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date</w:t>
      </w:r>
    </w:p>
    <w:p w14:paraId="4D65532C" w14:textId="506DBF20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time</w:t>
      </w:r>
    </w:p>
    <w:p w14:paraId="1D4A0D09" w14:textId="3CB3554A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email</w:t>
      </w:r>
    </w:p>
    <w:p w14:paraId="46DBCC7A" w14:textId="06D3F1C7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tel</w:t>
      </w:r>
    </w:p>
    <w:p w14:paraId="0BEF17B8" w14:textId="77C29409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radio (dar o mesmo “name” a todos os radios, se não poderá marcar mais de um!!!)</w:t>
      </w:r>
    </w:p>
    <w:p w14:paraId="6ED4FECD" w14:textId="510ADD3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checkbox</w:t>
      </w:r>
    </w:p>
    <w:p w14:paraId="28D62057" w14:textId="67CAD052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color (pode usar o value para definir a cor padrão)</w:t>
      </w:r>
    </w:p>
    <w:p w14:paraId="07D47417" w14:textId="6AE28F15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range (pode usar o value para definir o nível padrão)</w:t>
      </w:r>
    </w:p>
    <w:p w14:paraId="10980714" w14:textId="3F4F858C" w:rsidR="00B77D29" w:rsidRPr="00CA443B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file</w:t>
      </w:r>
    </w:p>
    <w:p w14:paraId="54A6AA9A" w14:textId="3F4F858C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1CE36C98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5BC9C89A" w14:textId="2CFB5FBF" w:rsidR="00B77D29" w:rsidRPr="00B77D29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 </w:t>
      </w:r>
      <w:r>
        <w:rPr>
          <w:rFonts w:ascii="Arial" w:hAnsi="Arial" w:cs="Arial"/>
          <w:noProof/>
        </w:rPr>
        <w:t>= definine o valor mínima para o input (número)</w:t>
      </w:r>
    </w:p>
    <w:p w14:paraId="59FE42AD" w14:textId="1AD73092" w:rsidR="00B77D29" w:rsidRPr="008A2EF4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 </w:t>
      </w:r>
      <w:r>
        <w:rPr>
          <w:rFonts w:ascii="Arial" w:hAnsi="Arial" w:cs="Arial"/>
          <w:noProof/>
        </w:rPr>
        <w:t>= defini o valor máximo para o input (número)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4C6F0E1B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5B7CFD12" w14:textId="54F29A02" w:rsidR="00B77D29" w:rsidRPr="005F3BBD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value </w:t>
      </w:r>
      <w:r>
        <w:rPr>
          <w:rFonts w:ascii="Arial" w:hAnsi="Arial" w:cs="Arial"/>
          <w:noProof/>
        </w:rPr>
        <w:t>= define o valor padrão de um input.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58964A9F" w:rsidR="002A080E" w:rsidRPr="00C2743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18B9A170" w14:textId="45C8D016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select </w:t>
      </w:r>
      <w:r>
        <w:rPr>
          <w:rFonts w:ascii="Arial" w:hAnsi="Arial" w:cs="Arial"/>
          <w:noProof/>
        </w:rPr>
        <w:t xml:space="preserve">= cria uma lista para escolher um elemento. Ex: cria uma lista com os estados do país para o usuário escolher o seu estado. Para fazer divisões entre os itens, dentro do select criar um </w:t>
      </w:r>
      <w:r>
        <w:rPr>
          <w:rFonts w:ascii="Arial" w:hAnsi="Arial" w:cs="Arial"/>
          <w:b/>
          <w:bCs/>
          <w:noProof/>
        </w:rPr>
        <w:t>optgroup,</w:t>
      </w:r>
      <w:r>
        <w:rPr>
          <w:rFonts w:ascii="Arial" w:hAnsi="Arial" w:cs="Arial"/>
          <w:noProof/>
        </w:rPr>
        <w:t xml:space="preserve"> dentro da abertura do optgroup criar um </w:t>
      </w:r>
      <w:r>
        <w:rPr>
          <w:rFonts w:ascii="Arial" w:hAnsi="Arial" w:cs="Arial"/>
          <w:b/>
          <w:bCs/>
          <w:noProof/>
        </w:rPr>
        <w:t xml:space="preserve">label </w:t>
      </w:r>
      <w:r>
        <w:rPr>
          <w:rFonts w:ascii="Arial" w:hAnsi="Arial" w:cs="Arial"/>
          <w:noProof/>
        </w:rPr>
        <w:t xml:space="preserve">e, dentro do label, digitar o nome da divisão. Dentro do optgroup digitar </w:t>
      </w:r>
      <w:r>
        <w:rPr>
          <w:rFonts w:ascii="Arial" w:hAnsi="Arial" w:cs="Arial"/>
          <w:b/>
          <w:bCs/>
          <w:noProof/>
        </w:rPr>
        <w:t>option</w:t>
      </w:r>
      <w:r>
        <w:rPr>
          <w:rFonts w:ascii="Arial" w:hAnsi="Arial" w:cs="Arial"/>
          <w:noProof/>
        </w:rPr>
        <w:t xml:space="preserve"> e digitar a opção desejada. Fazer isso para cada divisão!!!</w:t>
      </w:r>
    </w:p>
    <w:p w14:paraId="43E3B29C" w14:textId="57D37743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 xml:space="preserve">Para criar uma lista de itens que o usuário pode escolher, mas ao mesmo tempo digitar, criar um imput do tipo text, depois criar uma </w:t>
      </w:r>
      <w:r>
        <w:rPr>
          <w:rFonts w:ascii="Arial" w:hAnsi="Arial" w:cs="Arial"/>
          <w:b/>
          <w:bCs/>
          <w:noProof/>
        </w:rPr>
        <w:t>datalist</w:t>
      </w:r>
      <w:r>
        <w:rPr>
          <w:rFonts w:ascii="Arial" w:hAnsi="Arial" w:cs="Arial"/>
          <w:noProof/>
        </w:rPr>
        <w:t xml:space="preserve">, dar uma id para a datalist, e dentro da datalist digitar todas as opções desejadas com o option. Por fim, dentro do input, digitar </w:t>
      </w:r>
      <w:r>
        <w:rPr>
          <w:rFonts w:ascii="Arial" w:hAnsi="Arial" w:cs="Arial"/>
          <w:b/>
          <w:bCs/>
          <w:noProof/>
        </w:rPr>
        <w:t>list=“id-da-lista”</w:t>
      </w:r>
      <w:r>
        <w:rPr>
          <w:rFonts w:ascii="Arial" w:hAnsi="Arial" w:cs="Arial"/>
          <w:noProof/>
        </w:rPr>
        <w:t>.</w:t>
      </w:r>
    </w:p>
    <w:p w14:paraId="66931716" w14:textId="385F075F" w:rsidR="00C2743E" w:rsidRPr="00F7371A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textarea </w:t>
      </w:r>
      <w:r>
        <w:rPr>
          <w:rFonts w:ascii="Arial" w:hAnsi="Arial" w:cs="Arial"/>
          <w:noProof/>
        </w:rPr>
        <w:t>= cria um campo para o usuário digitar algo. Pode usar o placeholder. Recomendado usar em um formulário do tipo post!!!!</w:t>
      </w:r>
    </w:p>
    <w:p w14:paraId="30AAA2DA" w14:textId="4B544446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output </w:t>
      </w:r>
      <w:r>
        <w:rPr>
          <w:rFonts w:ascii="Arial" w:hAnsi="Arial" w:cs="Arial"/>
          <w:noProof/>
        </w:rPr>
        <w:t>= faz o processo inverso do input, isto é, exibe uma informação na tela.</w:t>
      </w:r>
    </w:p>
    <w:p w14:paraId="7ACC069F" w14:textId="76399510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oninput </w:t>
      </w:r>
      <w:r>
        <w:rPr>
          <w:rFonts w:ascii="Arial" w:hAnsi="Arial" w:cs="Arial"/>
          <w:noProof/>
        </w:rPr>
        <w:t>= define o que acontecerá quando o usuário digitar algo.</w:t>
      </w:r>
    </w:p>
    <w:p w14:paraId="1A18890A" w14:textId="61DF7B4A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7371A">
        <w:rPr>
          <w:rFonts w:ascii="Arial" w:hAnsi="Arial" w:cs="Arial"/>
          <w:b/>
          <w:bCs/>
          <w:noProof/>
          <w:sz w:val="24"/>
          <w:szCs w:val="24"/>
        </w:rPr>
        <w:t>ESTUDAR JAVASCRIPT PARA APRENDER MAIS SOBRE OUTPUT!!!</w:t>
      </w:r>
    </w:p>
    <w:p w14:paraId="252212F5" w14:textId="77777777" w:rsidR="00B77D29" w:rsidRPr="00B77D29" w:rsidRDefault="00B77D29" w:rsidP="00B77D29">
      <w:p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</w:p>
    <w:p w14:paraId="61337936" w14:textId="3A1BBDA5" w:rsidR="00EF48C2" w:rsidRDefault="00EF48C2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Media Queries</w:t>
      </w:r>
    </w:p>
    <w:p w14:paraId="55473C68" w14:textId="28E536FA" w:rsidR="00EF48C2" w:rsidRDefault="00EF48C2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7C7ADC73" w14:textId="026D6328" w:rsidR="00EF48C2" w:rsidRPr="00EF48C2" w:rsidRDefault="00EF48C2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criar uma Media Query, criar um link para CSS e ao lado do campo “href” digitar “</w:t>
      </w:r>
      <w:r>
        <w:rPr>
          <w:rFonts w:ascii="Arial" w:hAnsi="Arial" w:cs="Arial"/>
          <w:b/>
          <w:bCs/>
          <w:noProof/>
        </w:rPr>
        <w:t>media=tipo-de-media (media type)</w:t>
      </w:r>
      <w:r>
        <w:rPr>
          <w:rFonts w:ascii="Arial" w:hAnsi="Arial" w:cs="Arial"/>
          <w:noProof/>
        </w:rPr>
        <w:t>”.</w:t>
      </w:r>
    </w:p>
    <w:p w14:paraId="3981B393" w14:textId="2D8150D1" w:rsidR="00EF48C2" w:rsidRPr="00EF48C2" w:rsidRDefault="00EF48C2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media type </w:t>
      </w:r>
      <w:r>
        <w:rPr>
          <w:rFonts w:ascii="Arial" w:hAnsi="Arial" w:cs="Arial"/>
          <w:noProof/>
        </w:rPr>
        <w:t xml:space="preserve">= existem vários, mas os principais são </w:t>
      </w:r>
      <w:r>
        <w:rPr>
          <w:rFonts w:ascii="Arial" w:hAnsi="Arial" w:cs="Arial"/>
          <w:b/>
          <w:bCs/>
          <w:noProof/>
        </w:rPr>
        <w:t>screen</w:t>
      </w:r>
      <w:r w:rsidRPr="00EF48C2">
        <w:rPr>
          <w:rFonts w:ascii="Arial" w:hAnsi="Arial" w:cs="Arial"/>
          <w:noProof/>
        </w:rPr>
        <w:t>,</w:t>
      </w:r>
      <w:r>
        <w:rPr>
          <w:rFonts w:ascii="Arial" w:hAnsi="Arial" w:cs="Arial"/>
          <w:b/>
          <w:bCs/>
          <w:noProof/>
        </w:rPr>
        <w:t xml:space="preserve"> print </w:t>
      </w:r>
      <w:r w:rsidRPr="00EF48C2">
        <w:rPr>
          <w:rFonts w:ascii="Arial" w:hAnsi="Arial" w:cs="Arial"/>
          <w:noProof/>
        </w:rPr>
        <w:t>e</w:t>
      </w:r>
      <w:r>
        <w:rPr>
          <w:rFonts w:ascii="Arial" w:hAnsi="Arial" w:cs="Arial"/>
          <w:b/>
          <w:bCs/>
          <w:noProof/>
        </w:rPr>
        <w:t xml:space="preserve"> all</w:t>
      </w:r>
      <w:r>
        <w:rPr>
          <w:rFonts w:ascii="Arial" w:hAnsi="Arial" w:cs="Arial"/>
          <w:noProof/>
        </w:rPr>
        <w:t>. O screen cria configurações que serão exibidas em uma tela; print, em uma impressora; e all, a todos os tipos.</w:t>
      </w:r>
    </w:p>
    <w:p w14:paraId="2A8EB684" w14:textId="6A204108" w:rsidR="00EF48C2" w:rsidRPr="00EF48C2" w:rsidRDefault="00EF48C2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media features </w:t>
      </w:r>
      <w:r>
        <w:rPr>
          <w:rFonts w:ascii="Arial" w:hAnsi="Arial" w:cs="Arial"/>
          <w:noProof/>
        </w:rPr>
        <w:t xml:space="preserve">= adiciona uma configuração mais específica ao Media Query. Ao invés de só especificar o tipo com o media type, podemos especificar (por exemplo) qual a orientação do dispositivo. Ele deve carregar tal configuração quando o dispositivo estiver em retrato, e outra quando estiver em paisagem. </w:t>
      </w:r>
      <w:r w:rsidRPr="00EF48C2">
        <w:rPr>
          <w:rFonts w:ascii="Arial" w:hAnsi="Arial" w:cs="Arial"/>
          <w:b/>
          <w:bCs/>
          <w:noProof/>
        </w:rPr>
        <w:t>Para isso, dentro do campo “media”, digitar o media type, dar um espaço, digitar “and”, dar outro espaço, abrir parêntese e escrever a media feature.</w:t>
      </w:r>
    </w:p>
    <w:p w14:paraId="3378AFE2" w14:textId="0EBE033B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lastRenderedPageBreak/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3CE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80DDC"/>
    <w:multiLevelType w:val="hybridMultilevel"/>
    <w:tmpl w:val="A3A8D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  <w:num w:numId="21" w16cid:durableId="17493062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77D29"/>
    <w:rsid w:val="00BD7ED5"/>
    <w:rsid w:val="00C2743E"/>
    <w:rsid w:val="00CA443B"/>
    <w:rsid w:val="00CC4DB9"/>
    <w:rsid w:val="00D80199"/>
    <w:rsid w:val="00E37B08"/>
    <w:rsid w:val="00E80406"/>
    <w:rsid w:val="00ED45AB"/>
    <w:rsid w:val="00EF48C2"/>
    <w:rsid w:val="00F12F7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2167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16</cp:revision>
  <dcterms:created xsi:type="dcterms:W3CDTF">2023-01-19T20:38:00Z</dcterms:created>
  <dcterms:modified xsi:type="dcterms:W3CDTF">2023-01-28T23:52:00Z</dcterms:modified>
</cp:coreProperties>
</file>