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5A5B540A" w:rsidR="00B03E4E" w:rsidRPr="00ED45AB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A31696E" w:rsidR="00E37B08" w:rsidRPr="008A2EF4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>”. Para enviar os dados de um formulário, usar “</w:t>
      </w:r>
      <w:r w:rsidR="00994A82">
        <w:rPr>
          <w:rFonts w:ascii="Arial" w:hAnsi="Arial" w:cs="Arial"/>
          <w:b/>
          <w:bCs/>
          <w:noProof/>
        </w:rPr>
        <w:t>input</w:t>
      </w:r>
      <w:r w:rsidR="005F3BBD">
        <w:rPr>
          <w:rFonts w:ascii="Arial" w:hAnsi="Arial" w:cs="Arial"/>
          <w:b/>
          <w:bCs/>
          <w:noProof/>
        </w:rPr>
        <w:t>:submit</w:t>
      </w:r>
      <w:r w:rsidR="005F3BBD">
        <w:rPr>
          <w:rFonts w:ascii="Arial" w:hAnsi="Arial" w:cs="Arial"/>
          <w:noProof/>
        </w:rPr>
        <w:t>”. Sempre dar um nome e um id ao input!!!</w:t>
      </w:r>
    </w:p>
    <w:p w14:paraId="54A6AA9A" w14:textId="68134AF8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2178A692" w:rsidR="008A2EF4" w:rsidRPr="005F3BBD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2C9B0475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AFE2" w14:textId="5D86BBB4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lastRenderedPageBreak/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ED824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291CE7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D7ED5"/>
    <w:rsid w:val="00CC4DB9"/>
    <w:rsid w:val="00D80199"/>
    <w:rsid w:val="00E37B08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1819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10</cp:revision>
  <dcterms:created xsi:type="dcterms:W3CDTF">2023-01-19T20:38:00Z</dcterms:created>
  <dcterms:modified xsi:type="dcterms:W3CDTF">2023-01-25T18:20:00Z</dcterms:modified>
</cp:coreProperties>
</file>