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3DE951B5" w14:textId="60054D9C" w:rsidR="003B7865"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324549" w:history="1">
            <w:r w:rsidR="003B7865" w:rsidRPr="001A12EE">
              <w:rPr>
                <w:rStyle w:val="Hyperlink"/>
                <w:rFonts w:ascii="Times New Roman" w:hAnsi="Times New Roman" w:cs="Times New Roman"/>
                <w:b/>
                <w:noProof/>
              </w:rPr>
              <w:t>QUESTÃO 1: RESPONDA AS SEGUINTES PERGUNTAS:</w:t>
            </w:r>
            <w:r w:rsidR="003B7865">
              <w:rPr>
                <w:noProof/>
                <w:webHidden/>
              </w:rPr>
              <w:tab/>
            </w:r>
            <w:r w:rsidR="003B7865">
              <w:rPr>
                <w:noProof/>
                <w:webHidden/>
              </w:rPr>
              <w:fldChar w:fldCharType="begin"/>
            </w:r>
            <w:r w:rsidR="003B7865">
              <w:rPr>
                <w:noProof/>
                <w:webHidden/>
              </w:rPr>
              <w:instrText xml:space="preserve"> PAGEREF _Toc513324549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3AF052F7" w14:textId="6DED94C0" w:rsidR="003B7865" w:rsidRDefault="00A91961">
          <w:pPr>
            <w:pStyle w:val="Sumrio2"/>
            <w:tabs>
              <w:tab w:val="left" w:pos="660"/>
              <w:tab w:val="right" w:leader="dot" w:pos="8494"/>
            </w:tabs>
            <w:rPr>
              <w:rFonts w:eastAsiaTheme="minorEastAsia"/>
              <w:noProof/>
              <w:lang w:eastAsia="pt-BR"/>
            </w:rPr>
          </w:pPr>
          <w:hyperlink w:anchor="_Toc513324550" w:history="1">
            <w:r w:rsidR="003B7865" w:rsidRPr="001A12EE">
              <w:rPr>
                <w:rStyle w:val="Hyperlink"/>
                <w:rFonts w:ascii="Times New Roman" w:hAnsi="Times New Roman" w:cs="Times New Roman"/>
                <w:noProof/>
              </w:rPr>
              <w:t>a)</w:t>
            </w:r>
            <w:r w:rsidR="003B7865">
              <w:rPr>
                <w:rFonts w:eastAsiaTheme="minorEastAsia"/>
                <w:noProof/>
                <w:lang w:eastAsia="pt-BR"/>
              </w:rPr>
              <w:tab/>
            </w:r>
            <w:r w:rsidR="003B7865" w:rsidRPr="001A12EE">
              <w:rPr>
                <w:rStyle w:val="Hyperlink"/>
                <w:rFonts w:ascii="Times New Roman" w:hAnsi="Times New Roman" w:cs="Times New Roman"/>
                <w:noProof/>
              </w:rPr>
              <w:t>Explique as técnicas para Tratamento de Deadlock.</w:t>
            </w:r>
            <w:r w:rsidR="003B7865">
              <w:rPr>
                <w:noProof/>
                <w:webHidden/>
              </w:rPr>
              <w:tab/>
            </w:r>
            <w:r w:rsidR="003B7865">
              <w:rPr>
                <w:noProof/>
                <w:webHidden/>
              </w:rPr>
              <w:fldChar w:fldCharType="begin"/>
            </w:r>
            <w:r w:rsidR="003B7865">
              <w:rPr>
                <w:noProof/>
                <w:webHidden/>
              </w:rPr>
              <w:instrText xml:space="preserve"> PAGEREF _Toc513324550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30AB943D" w14:textId="05F21DFB" w:rsidR="003B7865" w:rsidRDefault="00A91961">
          <w:pPr>
            <w:pStyle w:val="Sumrio2"/>
            <w:tabs>
              <w:tab w:val="left" w:pos="660"/>
              <w:tab w:val="right" w:leader="dot" w:pos="8494"/>
            </w:tabs>
            <w:rPr>
              <w:rFonts w:eastAsiaTheme="minorEastAsia"/>
              <w:noProof/>
              <w:lang w:eastAsia="pt-BR"/>
            </w:rPr>
          </w:pPr>
          <w:hyperlink w:anchor="_Toc513324551" w:history="1">
            <w:r w:rsidR="003B7865" w:rsidRPr="001A12EE">
              <w:rPr>
                <w:rStyle w:val="Hyperlink"/>
                <w:rFonts w:ascii="Times New Roman" w:hAnsi="Times New Roman" w:cs="Times New Roman"/>
                <w:noProof/>
              </w:rPr>
              <w:t>b)</w:t>
            </w:r>
            <w:r w:rsidR="003B7865">
              <w:rPr>
                <w:rFonts w:eastAsiaTheme="minorEastAsia"/>
                <w:noProof/>
                <w:lang w:eastAsia="pt-BR"/>
              </w:rPr>
              <w:tab/>
            </w:r>
            <w:r w:rsidR="003B7865" w:rsidRPr="001A12EE">
              <w:rPr>
                <w:rStyle w:val="Hyperlink"/>
                <w:rFonts w:ascii="Times New Roman" w:hAnsi="Times New Roman" w:cs="Times New Roman"/>
                <w:noProof/>
              </w:rPr>
              <w:t>O que é bloqueio por granularidade múltipla?</w:t>
            </w:r>
            <w:r w:rsidR="003B7865">
              <w:rPr>
                <w:noProof/>
                <w:webHidden/>
              </w:rPr>
              <w:tab/>
            </w:r>
            <w:r w:rsidR="003B7865">
              <w:rPr>
                <w:noProof/>
                <w:webHidden/>
              </w:rPr>
              <w:fldChar w:fldCharType="begin"/>
            </w:r>
            <w:r w:rsidR="003B7865">
              <w:rPr>
                <w:noProof/>
                <w:webHidden/>
              </w:rPr>
              <w:instrText xml:space="preserve"> PAGEREF _Toc513324551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4162BF14" w14:textId="5ED03641" w:rsidR="003B7865" w:rsidRDefault="00A91961">
          <w:pPr>
            <w:pStyle w:val="Sumrio2"/>
            <w:tabs>
              <w:tab w:val="left" w:pos="660"/>
              <w:tab w:val="right" w:leader="dot" w:pos="8494"/>
            </w:tabs>
            <w:rPr>
              <w:rFonts w:eastAsiaTheme="minorEastAsia"/>
              <w:noProof/>
              <w:lang w:eastAsia="pt-BR"/>
            </w:rPr>
          </w:pPr>
          <w:hyperlink w:anchor="_Toc513324552" w:history="1">
            <w:r w:rsidR="003B7865" w:rsidRPr="001A12EE">
              <w:rPr>
                <w:rStyle w:val="Hyperlink"/>
                <w:rFonts w:ascii="Times New Roman" w:hAnsi="Times New Roman" w:cs="Times New Roman"/>
                <w:noProof/>
              </w:rPr>
              <w:t>c)</w:t>
            </w:r>
            <w:r w:rsidR="003B7865">
              <w:rPr>
                <w:rFonts w:eastAsiaTheme="minorEastAsia"/>
                <w:noProof/>
                <w:lang w:eastAsia="pt-BR"/>
              </w:rPr>
              <w:tab/>
            </w:r>
            <w:r w:rsidR="003B7865" w:rsidRPr="001A12EE">
              <w:rPr>
                <w:rStyle w:val="Hyperlink"/>
                <w:rFonts w:ascii="Times New Roman" w:hAnsi="Times New Roman" w:cs="Times New Roman"/>
                <w:noProof/>
              </w:rPr>
              <w:t>Como a frequência dos pontos de verificação(checkpoint) afeta:</w:t>
            </w:r>
            <w:r w:rsidR="003B7865">
              <w:rPr>
                <w:noProof/>
                <w:webHidden/>
              </w:rPr>
              <w:tab/>
            </w:r>
            <w:r w:rsidR="003B7865">
              <w:rPr>
                <w:noProof/>
                <w:webHidden/>
              </w:rPr>
              <w:fldChar w:fldCharType="begin"/>
            </w:r>
            <w:r w:rsidR="003B7865">
              <w:rPr>
                <w:noProof/>
                <w:webHidden/>
              </w:rPr>
              <w:instrText xml:space="preserve"> PAGEREF _Toc513324552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044930B8" w14:textId="199DBFF2" w:rsidR="003B7865" w:rsidRDefault="00A91961">
          <w:pPr>
            <w:pStyle w:val="Sumrio1"/>
            <w:tabs>
              <w:tab w:val="right" w:leader="dot" w:pos="8494"/>
            </w:tabs>
            <w:rPr>
              <w:rFonts w:eastAsiaTheme="minorEastAsia"/>
              <w:noProof/>
              <w:lang w:eastAsia="pt-BR"/>
            </w:rPr>
          </w:pPr>
          <w:hyperlink w:anchor="_Toc513324553" w:history="1">
            <w:r w:rsidR="003B7865" w:rsidRPr="001A12EE">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3B7865">
              <w:rPr>
                <w:noProof/>
                <w:webHidden/>
              </w:rPr>
              <w:tab/>
            </w:r>
            <w:r w:rsidR="003B7865">
              <w:rPr>
                <w:noProof/>
                <w:webHidden/>
              </w:rPr>
              <w:fldChar w:fldCharType="begin"/>
            </w:r>
            <w:r w:rsidR="003B7865">
              <w:rPr>
                <w:noProof/>
                <w:webHidden/>
              </w:rPr>
              <w:instrText xml:space="preserve"> PAGEREF _Toc513324553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06DEBD24" w14:textId="0E8E5793" w:rsidR="003B7865" w:rsidRDefault="00A91961">
          <w:pPr>
            <w:pStyle w:val="Sumrio1"/>
            <w:tabs>
              <w:tab w:val="right" w:leader="dot" w:pos="8494"/>
            </w:tabs>
            <w:rPr>
              <w:rFonts w:eastAsiaTheme="minorEastAsia"/>
              <w:noProof/>
              <w:lang w:eastAsia="pt-BR"/>
            </w:rPr>
          </w:pPr>
          <w:hyperlink w:anchor="_Toc513324554" w:history="1">
            <w:r w:rsidR="003B7865" w:rsidRPr="001A12EE">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3B7865">
              <w:rPr>
                <w:noProof/>
                <w:webHidden/>
              </w:rPr>
              <w:tab/>
            </w:r>
            <w:r w:rsidR="003B7865">
              <w:rPr>
                <w:noProof/>
                <w:webHidden/>
              </w:rPr>
              <w:fldChar w:fldCharType="begin"/>
            </w:r>
            <w:r w:rsidR="003B7865">
              <w:rPr>
                <w:noProof/>
                <w:webHidden/>
              </w:rPr>
              <w:instrText xml:space="preserve"> PAGEREF _Toc513324554 \h </w:instrText>
            </w:r>
            <w:r w:rsidR="003B7865">
              <w:rPr>
                <w:noProof/>
                <w:webHidden/>
              </w:rPr>
            </w:r>
            <w:r w:rsidR="003B7865">
              <w:rPr>
                <w:noProof/>
                <w:webHidden/>
              </w:rPr>
              <w:fldChar w:fldCharType="separate"/>
            </w:r>
            <w:r w:rsidR="003B7865">
              <w:rPr>
                <w:noProof/>
                <w:webHidden/>
              </w:rPr>
              <w:t>2</w:t>
            </w:r>
            <w:r w:rsidR="003B7865">
              <w:rPr>
                <w:noProof/>
                <w:webHidden/>
              </w:rPr>
              <w:fldChar w:fldCharType="end"/>
            </w:r>
          </w:hyperlink>
        </w:p>
        <w:p w14:paraId="2A0ACDB2" w14:textId="3DAB7142" w:rsidR="003B7865" w:rsidRDefault="00A91961">
          <w:pPr>
            <w:pStyle w:val="Sumrio1"/>
            <w:tabs>
              <w:tab w:val="right" w:leader="dot" w:pos="8494"/>
            </w:tabs>
            <w:rPr>
              <w:rFonts w:eastAsiaTheme="minorEastAsia"/>
              <w:noProof/>
              <w:lang w:eastAsia="pt-BR"/>
            </w:rPr>
          </w:pPr>
          <w:hyperlink w:anchor="_Toc513324555" w:history="1">
            <w:r w:rsidR="003B7865" w:rsidRPr="001A12EE">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3B7865">
              <w:rPr>
                <w:noProof/>
                <w:webHidden/>
              </w:rPr>
              <w:tab/>
            </w:r>
            <w:r w:rsidR="003B7865">
              <w:rPr>
                <w:noProof/>
                <w:webHidden/>
              </w:rPr>
              <w:fldChar w:fldCharType="begin"/>
            </w:r>
            <w:r w:rsidR="003B7865">
              <w:rPr>
                <w:noProof/>
                <w:webHidden/>
              </w:rPr>
              <w:instrText xml:space="preserve"> PAGEREF _Toc513324555 \h </w:instrText>
            </w:r>
            <w:r w:rsidR="003B7865">
              <w:rPr>
                <w:noProof/>
                <w:webHidden/>
              </w:rPr>
            </w:r>
            <w:r w:rsidR="003B7865">
              <w:rPr>
                <w:noProof/>
                <w:webHidden/>
              </w:rPr>
              <w:fldChar w:fldCharType="separate"/>
            </w:r>
            <w:r w:rsidR="003B7865">
              <w:rPr>
                <w:noProof/>
                <w:webHidden/>
              </w:rPr>
              <w:t>3</w:t>
            </w:r>
            <w:r w:rsidR="003B7865">
              <w:rPr>
                <w:noProof/>
                <w:webHidden/>
              </w:rPr>
              <w:fldChar w:fldCharType="end"/>
            </w:r>
          </w:hyperlink>
        </w:p>
        <w:p w14:paraId="7B81E14E" w14:textId="392AFAC6" w:rsidR="003B7865" w:rsidRDefault="00A91961">
          <w:pPr>
            <w:pStyle w:val="Sumrio1"/>
            <w:tabs>
              <w:tab w:val="right" w:leader="dot" w:pos="8494"/>
            </w:tabs>
            <w:rPr>
              <w:rFonts w:eastAsiaTheme="minorEastAsia"/>
              <w:noProof/>
              <w:lang w:eastAsia="pt-BR"/>
            </w:rPr>
          </w:pPr>
          <w:hyperlink w:anchor="_Toc513324556" w:history="1">
            <w:r w:rsidR="003B7865" w:rsidRPr="001A12EE">
              <w:rPr>
                <w:rStyle w:val="Hyperlink"/>
                <w:rFonts w:ascii="Times New Roman" w:hAnsi="Times New Roman" w:cs="Times New Roman"/>
                <w:b/>
                <w:noProof/>
              </w:rPr>
              <w:t>QUESTÃO 5: COMO O SGBD IMPLEMENTA O CONTROLE DE CONCORRÊNCIA?</w:t>
            </w:r>
            <w:r w:rsidR="003B7865">
              <w:rPr>
                <w:noProof/>
                <w:webHidden/>
              </w:rPr>
              <w:tab/>
            </w:r>
            <w:r w:rsidR="003B7865">
              <w:rPr>
                <w:noProof/>
                <w:webHidden/>
              </w:rPr>
              <w:fldChar w:fldCharType="begin"/>
            </w:r>
            <w:r w:rsidR="003B7865">
              <w:rPr>
                <w:noProof/>
                <w:webHidden/>
              </w:rPr>
              <w:instrText xml:space="preserve"> PAGEREF _Toc513324556 \h </w:instrText>
            </w:r>
            <w:r w:rsidR="003B7865">
              <w:rPr>
                <w:noProof/>
                <w:webHidden/>
              </w:rPr>
            </w:r>
            <w:r w:rsidR="003B7865">
              <w:rPr>
                <w:noProof/>
                <w:webHidden/>
              </w:rPr>
              <w:fldChar w:fldCharType="separate"/>
            </w:r>
            <w:r w:rsidR="003B7865">
              <w:rPr>
                <w:noProof/>
                <w:webHidden/>
              </w:rPr>
              <w:t>5</w:t>
            </w:r>
            <w:r w:rsidR="003B7865">
              <w:rPr>
                <w:noProof/>
                <w:webHidden/>
              </w:rPr>
              <w:fldChar w:fldCharType="end"/>
            </w:r>
          </w:hyperlink>
        </w:p>
        <w:p w14:paraId="40AD5DA7" w14:textId="4DD33696" w:rsidR="003B7865" w:rsidRDefault="00A91961">
          <w:pPr>
            <w:pStyle w:val="Sumrio1"/>
            <w:tabs>
              <w:tab w:val="right" w:leader="dot" w:pos="8494"/>
            </w:tabs>
            <w:rPr>
              <w:rFonts w:eastAsiaTheme="minorEastAsia"/>
              <w:noProof/>
              <w:lang w:eastAsia="pt-BR"/>
            </w:rPr>
          </w:pPr>
          <w:hyperlink w:anchor="_Toc513324557" w:history="1">
            <w:r w:rsidR="003B7865" w:rsidRPr="001A12EE">
              <w:rPr>
                <w:rStyle w:val="Hyperlink"/>
                <w:rFonts w:ascii="Times New Roman" w:hAnsi="Times New Roman" w:cs="Times New Roman"/>
                <w:b/>
                <w:noProof/>
              </w:rPr>
              <w:t>QUESTÃO 6: AVALIE POR MEIO DE CONSULTAS E DESCREVA A IMPRESSÃO DO GRUPO SOBRE:</w:t>
            </w:r>
            <w:r w:rsidR="003B7865">
              <w:rPr>
                <w:noProof/>
                <w:webHidden/>
              </w:rPr>
              <w:tab/>
            </w:r>
            <w:r w:rsidR="003B7865">
              <w:rPr>
                <w:noProof/>
                <w:webHidden/>
              </w:rPr>
              <w:fldChar w:fldCharType="begin"/>
            </w:r>
            <w:r w:rsidR="003B7865">
              <w:rPr>
                <w:noProof/>
                <w:webHidden/>
              </w:rPr>
              <w:instrText xml:space="preserve"> PAGEREF _Toc513324557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55EEB44C" w14:textId="59B89F20" w:rsidR="003B7865" w:rsidRDefault="00A91961">
          <w:pPr>
            <w:pStyle w:val="Sumrio2"/>
            <w:tabs>
              <w:tab w:val="left" w:pos="660"/>
              <w:tab w:val="right" w:leader="dot" w:pos="8494"/>
            </w:tabs>
            <w:rPr>
              <w:rFonts w:eastAsiaTheme="minorEastAsia"/>
              <w:noProof/>
              <w:lang w:eastAsia="pt-BR"/>
            </w:rPr>
          </w:pPr>
          <w:hyperlink w:anchor="_Toc513324558" w:history="1">
            <w:r w:rsidR="003B7865" w:rsidRPr="001A12EE">
              <w:rPr>
                <w:rStyle w:val="Hyperlink"/>
                <w:rFonts w:ascii="Times New Roman" w:hAnsi="Times New Roman" w:cs="Times New Roman"/>
                <w:noProof/>
              </w:rPr>
              <w:t>a)</w:t>
            </w:r>
            <w:r w:rsidR="003B7865">
              <w:rPr>
                <w:rFonts w:eastAsiaTheme="minorEastAsia"/>
                <w:noProof/>
                <w:lang w:eastAsia="pt-BR"/>
              </w:rPr>
              <w:tab/>
            </w:r>
            <w:r w:rsidR="003B7865" w:rsidRPr="001A12EE">
              <w:rPr>
                <w:rStyle w:val="Hyperlink"/>
                <w:rFonts w:ascii="Times New Roman" w:hAnsi="Times New Roman" w:cs="Times New Roman"/>
                <w:noProof/>
              </w:rPr>
              <w:t>Quais são as consequências de optar por cada um dos níveis de isolamento acima citados?</w:t>
            </w:r>
            <w:r w:rsidR="003B7865">
              <w:rPr>
                <w:noProof/>
                <w:webHidden/>
              </w:rPr>
              <w:tab/>
            </w:r>
            <w:r w:rsidR="003B7865">
              <w:rPr>
                <w:noProof/>
                <w:webHidden/>
              </w:rPr>
              <w:fldChar w:fldCharType="begin"/>
            </w:r>
            <w:r w:rsidR="003B7865">
              <w:rPr>
                <w:noProof/>
                <w:webHidden/>
              </w:rPr>
              <w:instrText xml:space="preserve"> PAGEREF _Toc513324558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41879F47" w14:textId="5A3A042E" w:rsidR="003B7865" w:rsidRDefault="00A91961">
          <w:pPr>
            <w:pStyle w:val="Sumrio2"/>
            <w:tabs>
              <w:tab w:val="left" w:pos="660"/>
              <w:tab w:val="right" w:leader="dot" w:pos="8494"/>
            </w:tabs>
            <w:rPr>
              <w:rFonts w:eastAsiaTheme="minorEastAsia"/>
              <w:noProof/>
              <w:lang w:eastAsia="pt-BR"/>
            </w:rPr>
          </w:pPr>
          <w:hyperlink w:anchor="_Toc513324559" w:history="1">
            <w:r w:rsidR="003B7865" w:rsidRPr="001A12EE">
              <w:rPr>
                <w:rStyle w:val="Hyperlink"/>
                <w:rFonts w:ascii="Times New Roman" w:hAnsi="Times New Roman" w:cs="Times New Roman"/>
                <w:noProof/>
              </w:rPr>
              <w:t>b)</w:t>
            </w:r>
            <w:r w:rsidR="003B7865">
              <w:rPr>
                <w:rFonts w:eastAsiaTheme="minorEastAsia"/>
                <w:noProof/>
                <w:lang w:eastAsia="pt-BR"/>
              </w:rPr>
              <w:tab/>
            </w:r>
            <w:r w:rsidR="003B7865" w:rsidRPr="001A12EE">
              <w:rPr>
                <w:rStyle w:val="Hyperlink"/>
                <w:rFonts w:ascii="Times New Roman" w:hAnsi="Times New Roman" w:cs="Times New Roman"/>
                <w:noProof/>
              </w:rPr>
              <w:t>Como é feita essa configuração no seu SGBD?</w:t>
            </w:r>
            <w:r w:rsidR="003B7865">
              <w:rPr>
                <w:noProof/>
                <w:webHidden/>
              </w:rPr>
              <w:tab/>
            </w:r>
            <w:r w:rsidR="003B7865">
              <w:rPr>
                <w:noProof/>
                <w:webHidden/>
              </w:rPr>
              <w:fldChar w:fldCharType="begin"/>
            </w:r>
            <w:r w:rsidR="003B7865">
              <w:rPr>
                <w:noProof/>
                <w:webHidden/>
              </w:rPr>
              <w:instrText xml:space="preserve"> PAGEREF _Toc513324559 \h </w:instrText>
            </w:r>
            <w:r w:rsidR="003B7865">
              <w:rPr>
                <w:noProof/>
                <w:webHidden/>
              </w:rPr>
            </w:r>
            <w:r w:rsidR="003B7865">
              <w:rPr>
                <w:noProof/>
                <w:webHidden/>
              </w:rPr>
              <w:fldChar w:fldCharType="separate"/>
            </w:r>
            <w:r w:rsidR="003B7865">
              <w:rPr>
                <w:noProof/>
                <w:webHidden/>
              </w:rPr>
              <w:t>6</w:t>
            </w:r>
            <w:r w:rsidR="003B7865">
              <w:rPr>
                <w:noProof/>
                <w:webHidden/>
              </w:rPr>
              <w:fldChar w:fldCharType="end"/>
            </w:r>
          </w:hyperlink>
        </w:p>
        <w:p w14:paraId="0AF62E34" w14:textId="69B5D114" w:rsidR="003B7865" w:rsidRDefault="00A91961">
          <w:pPr>
            <w:pStyle w:val="Sumrio1"/>
            <w:tabs>
              <w:tab w:val="right" w:leader="dot" w:pos="8494"/>
            </w:tabs>
            <w:rPr>
              <w:rFonts w:eastAsiaTheme="minorEastAsia"/>
              <w:noProof/>
              <w:lang w:eastAsia="pt-BR"/>
            </w:rPr>
          </w:pPr>
          <w:hyperlink w:anchor="_Toc513324560" w:history="1">
            <w:r w:rsidR="003B7865" w:rsidRPr="001A12EE">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3B7865">
              <w:rPr>
                <w:noProof/>
                <w:webHidden/>
              </w:rPr>
              <w:tab/>
            </w:r>
            <w:r w:rsidR="003B7865">
              <w:rPr>
                <w:noProof/>
                <w:webHidden/>
              </w:rPr>
              <w:fldChar w:fldCharType="begin"/>
            </w:r>
            <w:r w:rsidR="003B7865">
              <w:rPr>
                <w:noProof/>
                <w:webHidden/>
              </w:rPr>
              <w:instrText xml:space="preserve"> PAGEREF _Toc513324560 \h </w:instrText>
            </w:r>
            <w:r w:rsidR="003B7865">
              <w:rPr>
                <w:noProof/>
                <w:webHidden/>
              </w:rPr>
            </w:r>
            <w:r w:rsidR="003B7865">
              <w:rPr>
                <w:noProof/>
                <w:webHidden/>
              </w:rPr>
              <w:fldChar w:fldCharType="separate"/>
            </w:r>
            <w:r w:rsidR="003B7865">
              <w:rPr>
                <w:noProof/>
                <w:webHidden/>
              </w:rPr>
              <w:t>7</w:t>
            </w:r>
            <w:r w:rsidR="003B7865">
              <w:rPr>
                <w:noProof/>
                <w:webHidden/>
              </w:rPr>
              <w:fldChar w:fldCharType="end"/>
            </w:r>
          </w:hyperlink>
        </w:p>
        <w:p w14:paraId="21573857" w14:textId="26461D8F" w:rsidR="003B7865" w:rsidRDefault="00A91961">
          <w:pPr>
            <w:pStyle w:val="Sumrio1"/>
            <w:tabs>
              <w:tab w:val="right" w:leader="dot" w:pos="8494"/>
            </w:tabs>
            <w:rPr>
              <w:rFonts w:eastAsiaTheme="minorEastAsia"/>
              <w:noProof/>
              <w:lang w:eastAsia="pt-BR"/>
            </w:rPr>
          </w:pPr>
          <w:hyperlink w:anchor="_Toc513324561" w:history="1">
            <w:r w:rsidR="003B7865" w:rsidRPr="001A12EE">
              <w:rPr>
                <w:rStyle w:val="Hyperlink"/>
                <w:rFonts w:ascii="Times New Roman" w:hAnsi="Times New Roman" w:cs="Times New Roman"/>
                <w:b/>
                <w:noProof/>
              </w:rPr>
              <w:t>QUESTÃO DESAFIO 2 (VALENDO NOTA EXTRA): ALTERAR AS CONFIGURAÇÕES DE FLUSH DO SGBD E AVALIAR O TEMPO DE EXECUÇÃO.</w:t>
            </w:r>
            <w:r w:rsidR="003B7865">
              <w:rPr>
                <w:noProof/>
                <w:webHidden/>
              </w:rPr>
              <w:tab/>
            </w:r>
            <w:r w:rsidR="003B7865">
              <w:rPr>
                <w:noProof/>
                <w:webHidden/>
              </w:rPr>
              <w:fldChar w:fldCharType="begin"/>
            </w:r>
            <w:r w:rsidR="003B7865">
              <w:rPr>
                <w:noProof/>
                <w:webHidden/>
              </w:rPr>
              <w:instrText xml:space="preserve"> PAGEREF _Toc513324561 \h </w:instrText>
            </w:r>
            <w:r w:rsidR="003B7865">
              <w:rPr>
                <w:noProof/>
                <w:webHidden/>
              </w:rPr>
            </w:r>
            <w:r w:rsidR="003B7865">
              <w:rPr>
                <w:noProof/>
                <w:webHidden/>
              </w:rPr>
              <w:fldChar w:fldCharType="separate"/>
            </w:r>
            <w:r w:rsidR="003B7865">
              <w:rPr>
                <w:noProof/>
                <w:webHidden/>
              </w:rPr>
              <w:t>7</w:t>
            </w:r>
            <w:r w:rsidR="003B7865">
              <w:rPr>
                <w:noProof/>
                <w:webHidden/>
              </w:rPr>
              <w:fldChar w:fldCharType="end"/>
            </w:r>
          </w:hyperlink>
        </w:p>
        <w:p w14:paraId="2A1924F8" w14:textId="736719C0" w:rsidR="003B7865" w:rsidRDefault="00A91961">
          <w:pPr>
            <w:pStyle w:val="Sumrio1"/>
            <w:tabs>
              <w:tab w:val="right" w:leader="dot" w:pos="8494"/>
            </w:tabs>
            <w:rPr>
              <w:rFonts w:eastAsiaTheme="minorEastAsia"/>
              <w:noProof/>
              <w:lang w:eastAsia="pt-BR"/>
            </w:rPr>
          </w:pPr>
          <w:hyperlink w:anchor="_Toc513324562" w:history="1">
            <w:r w:rsidR="003B7865" w:rsidRPr="001A12EE">
              <w:rPr>
                <w:rStyle w:val="Hyperlink"/>
                <w:rFonts w:ascii="Times New Roman" w:hAnsi="Times New Roman" w:cs="Times New Roman"/>
                <w:b/>
                <w:noProof/>
              </w:rPr>
              <w:t>REFERÊNCIA:</w:t>
            </w:r>
            <w:r w:rsidR="003B7865">
              <w:rPr>
                <w:noProof/>
                <w:webHidden/>
              </w:rPr>
              <w:tab/>
            </w:r>
            <w:r w:rsidR="003B7865">
              <w:rPr>
                <w:noProof/>
                <w:webHidden/>
              </w:rPr>
              <w:fldChar w:fldCharType="begin"/>
            </w:r>
            <w:r w:rsidR="003B7865">
              <w:rPr>
                <w:noProof/>
                <w:webHidden/>
              </w:rPr>
              <w:instrText xml:space="preserve"> PAGEREF _Toc513324562 \h </w:instrText>
            </w:r>
            <w:r w:rsidR="003B7865">
              <w:rPr>
                <w:noProof/>
                <w:webHidden/>
              </w:rPr>
            </w:r>
            <w:r w:rsidR="003B7865">
              <w:rPr>
                <w:noProof/>
                <w:webHidden/>
              </w:rPr>
              <w:fldChar w:fldCharType="separate"/>
            </w:r>
            <w:r w:rsidR="003B7865">
              <w:rPr>
                <w:noProof/>
                <w:webHidden/>
              </w:rPr>
              <w:t>8</w:t>
            </w:r>
            <w:r w:rsidR="003B7865">
              <w:rPr>
                <w:noProof/>
                <w:webHidden/>
              </w:rPr>
              <w:fldChar w:fldCharType="end"/>
            </w:r>
          </w:hyperlink>
        </w:p>
        <w:p w14:paraId="09280D72" w14:textId="00865E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21AD3D00" w14:textId="2530542E"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324549"/>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324550"/>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324551"/>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Para decidir se um desses bloqueios pode ou não ser concedido, usamos a matriz de compatibilidade a</w:t>
      </w:r>
      <w:r w:rsidRPr="00FF02C1">
        <w:rPr>
          <w:rFonts w:ascii="Times New Roman" w:hAnsi="Times New Roman" w:cs="Times New Roman"/>
          <w:sz w:val="24"/>
          <w:szCs w:val="24"/>
        </w:rPr>
        <w:t xml:space="preserve"> seguir.</w:t>
      </w:r>
      <w:r w:rsidRPr="00FF02C1">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blPrEx>
          <w:tblCellMar>
            <w:top w:w="0" w:type="dxa"/>
            <w:bottom w:w="0" w:type="dxa"/>
          </w:tblCellMar>
        </w:tblPrEx>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blPrEx>
          <w:tblCellMar>
            <w:top w:w="0" w:type="dxa"/>
            <w:bottom w:w="0" w:type="dxa"/>
          </w:tblCellMar>
        </w:tblPrEx>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blPrEx>
          <w:tblCellMar>
            <w:top w:w="0" w:type="dxa"/>
            <w:bottom w:w="0" w:type="dxa"/>
          </w:tblCellMar>
        </w:tblPrEx>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blPrEx>
          <w:tblCellMar>
            <w:top w:w="0" w:type="dxa"/>
            <w:bottom w:w="0" w:type="dxa"/>
          </w:tblCellMar>
        </w:tblPrEx>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blPrEx>
          <w:tblCellMar>
            <w:top w:w="0" w:type="dxa"/>
            <w:bottom w:w="0" w:type="dxa"/>
          </w:tblCellMar>
        </w:tblPrEx>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324552"/>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324553"/>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w:t>
      </w: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w:t>
            </w:r>
            <w:r w:rsidRPr="00FF02C1">
              <w:rPr>
                <w:rFonts w:ascii="Times New Roman" w:hAnsi="Times New Roman" w:cs="Times New Roman"/>
                <w:sz w:val="24"/>
                <w:szCs w:val="24"/>
              </w:rPr>
              <w:t>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11EEB71C" w14:textId="710336B3"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2356622C"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0DF3743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p w14:paraId="4FBDD039"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0D0F93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p w14:paraId="29A49388"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652E6E39" w14:textId="1BAA567C"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502B3498" w14:textId="06C7868E"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7" w:name="_Toc513324554"/>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324555"/>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66E39E19" w:rsidR="0076379B" w:rsidRPr="00A91965"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21A387A6" w14:textId="6A795BE4"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de</w:t>
      </w:r>
      <w:r w:rsidR="001D1634">
        <w:rPr>
          <w:rFonts w:ascii="Times New Roman" w:hAnsi="Times New Roman" w:cs="Times New Roman"/>
          <w:sz w:val="24"/>
          <w:szCs w:val="24"/>
        </w:rPr>
        <w:t xml:space="preserve"> </w:t>
      </w:r>
      <w:proofErr w:type="spellStart"/>
      <w:r w:rsidR="001D1634">
        <w:rPr>
          <w:rFonts w:ascii="Times New Roman" w:hAnsi="Times New Roman" w:cs="Times New Roman"/>
          <w:sz w:val="24"/>
          <w:szCs w:val="24"/>
        </w:rPr>
        <w:t>de</w:t>
      </w:r>
      <w:proofErr w:type="spellEnd"/>
      <w:r w:rsidR="001D1634">
        <w:rPr>
          <w:rFonts w:ascii="Times New Roman" w:hAnsi="Times New Roman" w:cs="Times New Roman"/>
          <w:sz w:val="24"/>
          <w:szCs w:val="24"/>
        </w:rPr>
        <w:t xml:space="preserv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49C42C96" w14:textId="1D74F1CA" w:rsidR="00C7226D" w:rsidRPr="00A91965" w:rsidRDefault="00C7226D" w:rsidP="00C7226D">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1E7C75">
        <w:rPr>
          <w:rFonts w:ascii="Times New Roman" w:hAnsi="Times New Roman" w:cs="Times New Roman"/>
          <w:sz w:val="20"/>
          <w:szCs w:val="20"/>
        </w:rPr>
        <w:t>7</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02D6A1A3" w14:textId="1DED5C2F" w:rsidR="00C7226D" w:rsidRDefault="00C7226D" w:rsidP="00C7226D">
      <w:pPr>
        <w:spacing w:afterLines="120" w:after="288" w:line="360" w:lineRule="auto"/>
        <w:ind w:left="708"/>
        <w:jc w:val="center"/>
        <w:rPr>
          <w:rStyle w:val="token"/>
          <w:rFonts w:ascii="Times New Roman" w:hAnsi="Times New Roman" w:cs="Times New Roman"/>
          <w:sz w:val="24"/>
          <w:szCs w:val="24"/>
        </w:rPr>
      </w:pP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9" w:name="_Toc513324556"/>
      <w:r w:rsidRPr="00AC2524">
        <w:rPr>
          <w:rFonts w:ascii="Times New Roman" w:hAnsi="Times New Roman" w:cs="Times New Roman"/>
          <w:b/>
          <w:color w:val="auto"/>
          <w:sz w:val="24"/>
          <w:szCs w:val="24"/>
        </w:rPr>
        <w:lastRenderedPageBreak/>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9"/>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203B5BE4"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1E7C75">
        <w:rPr>
          <w:rFonts w:ascii="Times New Roman" w:hAnsi="Times New Roman" w:cs="Times New Roman"/>
          <w:sz w:val="20"/>
          <w:szCs w:val="20"/>
        </w:rPr>
        <w:t>8</w:t>
      </w:r>
      <w:r w:rsidRPr="00454FB9">
        <w:rPr>
          <w:rFonts w:ascii="Times New Roman" w:hAnsi="Times New Roman" w:cs="Times New Roman"/>
          <w:sz w:val="20"/>
          <w:szCs w:val="20"/>
        </w:rPr>
        <w:t xml:space="preserve"> – que 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4">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763896DE"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1E7C75">
        <w:rPr>
          <w:rFonts w:ascii="Times New Roman" w:hAnsi="Times New Roman" w:cs="Times New Roman"/>
          <w:sz w:val="20"/>
          <w:szCs w:val="20"/>
        </w:rPr>
        <w:t>9</w:t>
      </w:r>
      <w:bookmarkStart w:id="10" w:name="_GoBack"/>
      <w:bookmarkEnd w:id="10"/>
      <w:r w:rsidRPr="00454FB9">
        <w:rPr>
          <w:rFonts w:ascii="Times New Roman" w:hAnsi="Times New Roman" w:cs="Times New Roman"/>
          <w:sz w:val="20"/>
          <w:szCs w:val="20"/>
        </w:rPr>
        <w:t xml:space="preserve"> – que 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lastRenderedPageBreak/>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7820F55E" w:rsidR="00F229E1" w:rsidRPr="00454FB9"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1" w:name="_Toc513324557"/>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w:t>
      </w:r>
      <w:bookmarkEnd w:id="11"/>
      <w:r w:rsidRPr="00AC101C">
        <w:rPr>
          <w:rFonts w:ascii="Times New Roman" w:hAnsi="Times New Roman" w:cs="Times New Roman"/>
          <w:b/>
          <w:color w:val="auto"/>
          <w:sz w:val="24"/>
          <w:szCs w:val="24"/>
        </w:rPr>
        <w:t>EM GERAL, OS SGBDS SÃO INSTALADOS COM UM NÍVEL DE ISOLAMENTO PADRÃO, MAS DISPONIBILIZAM UMA VARIÁVEL DE AMBIENTE ONDE É POSSÍVEL CONFIGURAR ESSE NÍVEL DE ISOLAMENTO. ASSIM SENDO, RESPONDA:</w:t>
      </w:r>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2" w:name="_Toc513324558"/>
      <w:r w:rsidRPr="000422DA">
        <w:rPr>
          <w:rFonts w:ascii="Times New Roman" w:hAnsi="Times New Roman" w:cs="Times New Roman"/>
          <w:color w:val="auto"/>
          <w:sz w:val="24"/>
          <w:szCs w:val="24"/>
        </w:rPr>
        <w:t>Quais são as consequências de optar por cada um dos níveis de isolamento acima citados?</w:t>
      </w:r>
      <w:bookmarkEnd w:id="12"/>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w:t>
      </w:r>
      <w:r w:rsidRPr="00784D74">
        <w:rPr>
          <w:rFonts w:ascii="Times New Roman" w:hAnsi="Times New Roman" w:cs="Times New Roman"/>
          <w:sz w:val="24"/>
          <w:szCs w:val="24"/>
        </w:rPr>
        <w:lastRenderedPageBreak/>
        <w:t xml:space="preserve">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6CB700E2" w:rsidR="003B7865" w:rsidRPr="00DD33E5" w:rsidRDefault="00784D74" w:rsidP="00D3234B">
      <w:pPr>
        <w:pStyle w:val="PargrafodaLista"/>
        <w:numPr>
          <w:ilvl w:val="0"/>
          <w:numId w:val="13"/>
        </w:numPr>
        <w:spacing w:after="120" w:line="360" w:lineRule="auto"/>
        <w:jc w:val="both"/>
      </w:pPr>
      <w:proofErr w:type="spellStart"/>
      <w:r w:rsidRPr="00784D74">
        <w:rPr>
          <w:rFonts w:ascii="Times New Roman" w:hAnsi="Times New Roman" w:cs="Times New Roman"/>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3" w:name="_Toc513324559"/>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3"/>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0D723B43" w:rsidR="00E16D49" w:rsidRPr="0063361A"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5">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3C0204C6" w:rsidR="004F08FB" w:rsidRPr="00AC101C"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6">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9D68021" w14:textId="03861F97" w:rsidR="00A224AB" w:rsidRPr="00A224AB" w:rsidRDefault="00A224AB" w:rsidP="00A224AB"/>
    <w:p w14:paraId="1FA683BE" w14:textId="0DCA776A" w:rsidR="00E16D49" w:rsidRPr="00E16D49" w:rsidRDefault="00E16D49" w:rsidP="00E16D49"/>
    <w:p w14:paraId="1998BF66" w14:textId="50E7C01A" w:rsidR="00D41AF6" w:rsidRDefault="00C61CEE" w:rsidP="00B54D2E">
      <w:pPr>
        <w:pStyle w:val="Ttulo1"/>
        <w:spacing w:before="0" w:after="120" w:line="360" w:lineRule="auto"/>
        <w:jc w:val="both"/>
        <w:rPr>
          <w:rFonts w:ascii="Times New Roman" w:hAnsi="Times New Roman" w:cs="Times New Roman"/>
          <w:b/>
          <w:color w:val="auto"/>
          <w:sz w:val="24"/>
          <w:szCs w:val="24"/>
        </w:rPr>
      </w:pPr>
      <w:bookmarkStart w:id="14" w:name="_Toc513324560"/>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4ABB13EC" w14:textId="77777777" w:rsidR="00963564" w:rsidRPr="00963564" w:rsidRDefault="00963564" w:rsidP="00963564">
      <w:pPr>
        <w:spacing w:line="360" w:lineRule="auto"/>
      </w:pPr>
    </w:p>
    <w:p w14:paraId="0BBFCEB4" w14:textId="60CFD40B" w:rsidR="00DD33E5" w:rsidRDefault="007F1E98" w:rsidP="003B7865">
      <w:pPr>
        <w:spacing w:after="120" w:line="360" w:lineRule="auto"/>
        <w:ind w:firstLine="851"/>
        <w:jc w:val="both"/>
      </w:pPr>
      <w:r w:rsidRPr="003B7865">
        <w:rPr>
          <w:rFonts w:ascii="Times New Roman" w:hAnsi="Times New Roman" w:cs="Times New Roman"/>
          <w:sz w:val="24"/>
          <w:szCs w:val="24"/>
        </w:rPr>
        <w:t>Uma transação pode ser necessária quando um conjunto de instruções SQL devem ser considerados como uma única unidade de trabalho. Ou seja, se toda aquela transição ocorrer você pode persistir a mudança no banco, caso uma delas falhe, você deve refazer todos os passos já realizados e recomeçar o conjunto de instruções.</w:t>
      </w:r>
    </w:p>
    <w:p w14:paraId="74699164" w14:textId="494D8AC1" w:rsidR="00963564" w:rsidRDefault="007F1E98" w:rsidP="00701123">
      <w:pPr>
        <w:spacing w:line="360" w:lineRule="auto"/>
      </w:pPr>
      <w:r>
        <w:tab/>
      </w:r>
    </w:p>
    <w:p w14:paraId="13F36B39" w14:textId="5C42804A" w:rsidR="00D41AF6" w:rsidRDefault="00C219B9" w:rsidP="00B54D2E">
      <w:pPr>
        <w:pStyle w:val="Ttulo1"/>
        <w:spacing w:before="0" w:after="120" w:line="360" w:lineRule="auto"/>
        <w:jc w:val="both"/>
        <w:rPr>
          <w:rFonts w:ascii="Times New Roman" w:hAnsi="Times New Roman" w:cs="Times New Roman"/>
          <w:b/>
          <w:color w:val="auto"/>
          <w:sz w:val="24"/>
          <w:szCs w:val="24"/>
        </w:rPr>
      </w:pPr>
      <w:bookmarkStart w:id="15" w:name="_Toc513324561"/>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3A5AB9E6" w14:textId="77777777" w:rsidR="00DD33E5" w:rsidRPr="00DD33E5" w:rsidRDefault="00DD33E5" w:rsidP="00DD33E5">
      <w:pPr>
        <w:spacing w:line="360" w:lineRule="auto"/>
      </w:pPr>
    </w:p>
    <w:p w14:paraId="28422929" w14:textId="0F487D0A" w:rsidR="001C6D7D" w:rsidRDefault="00614764" w:rsidP="0052449D">
      <w:pPr>
        <w:spacing w:after="120" w:line="360" w:lineRule="auto"/>
        <w:ind w:firstLine="851"/>
        <w:jc w:val="both"/>
        <w:rPr>
          <w:rFonts w:ascii="Times New Roman" w:hAnsi="Times New Roman" w:cs="Times New Roman"/>
          <w:sz w:val="24"/>
          <w:szCs w:val="24"/>
        </w:rPr>
      </w:pPr>
      <w:bookmarkStart w:id="16" w:name="_Hlk510873872"/>
      <w:r>
        <w:rPr>
          <w:rFonts w:ascii="Times New Roman" w:hAnsi="Times New Roman" w:cs="Times New Roman"/>
          <w:sz w:val="24"/>
          <w:szCs w:val="24"/>
        </w:rPr>
        <w:t xml:space="preserve">O chamado SQL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é um tipo de ataque que se baseia na manipulação do código SQL</w:t>
      </w:r>
      <w:r w:rsidR="00C35681">
        <w:rPr>
          <w:rFonts w:ascii="Times New Roman" w:hAnsi="Times New Roman" w:cs="Times New Roman"/>
          <w:sz w:val="24"/>
          <w:szCs w:val="24"/>
        </w:rPr>
        <w:t xml:space="preserve">. </w:t>
      </w:r>
      <w:bookmarkEnd w:id="16"/>
      <w:r w:rsidR="00C35681">
        <w:rPr>
          <w:rFonts w:ascii="Times New Roman" w:hAnsi="Times New Roman" w:cs="Times New Roman"/>
          <w:sz w:val="24"/>
          <w:szCs w:val="24"/>
        </w:rPr>
        <w:t xml:space="preserve">Quando uma aplicação recebe um valor digitado pelo usuário e concatena isso a uma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com código SQL para uma consulta em um banco de dados, a maneira que esta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é concatenada pode gerar uma abertura para que partes de código SQL sejam enviadas para a variável que coleta os dados digitados pelo usuário e enviem para manipular a consulta pré-determinada no momento em que a concatenação é feita.</w:t>
      </w:r>
      <w:bookmarkEnd w:id="1"/>
    </w:p>
    <w:p w14:paraId="6124E970" w14:textId="77777777"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7" w:name="_Toc513324562"/>
      <w:r>
        <w:rPr>
          <w:rFonts w:ascii="Times New Roman" w:hAnsi="Times New Roman" w:cs="Times New Roman"/>
          <w:b/>
          <w:color w:val="auto"/>
          <w:sz w:val="24"/>
          <w:szCs w:val="24"/>
        </w:rPr>
        <w:t>REFERÊNCIA:</w:t>
      </w:r>
      <w:bookmarkEnd w:id="17"/>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29EB0B99"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C4110E" w:rsidRPr="00C4110E">
        <w:rPr>
          <w:rFonts w:ascii="Times New Roman" w:hAnsi="Times New Roman" w:cs="Times New Roman"/>
          <w:sz w:val="24"/>
          <w:szCs w:val="24"/>
        </w:rPr>
        <w:t>https://dev.mysql.com/doc/refman/5.7/en/storage-engines.html</w:t>
      </w:r>
      <w:r w:rsidR="00C4110E">
        <w:rPr>
          <w:rFonts w:ascii="Times New Roman" w:hAnsi="Times New Roman" w:cs="Times New Roman"/>
          <w:sz w:val="24"/>
          <w:szCs w:val="24"/>
        </w:rPr>
        <w:t xml:space="preserve">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17"/>
      <w:footerReference w:type="default" r:id="rId18"/>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52204" w14:textId="77777777" w:rsidR="00A91961" w:rsidRDefault="00A91961" w:rsidP="00D41AF6">
      <w:pPr>
        <w:spacing w:after="0" w:line="240" w:lineRule="auto"/>
      </w:pPr>
      <w:r>
        <w:separator/>
      </w:r>
    </w:p>
  </w:endnote>
  <w:endnote w:type="continuationSeparator" w:id="0">
    <w:p w14:paraId="7586A512" w14:textId="77777777" w:rsidR="00A91961" w:rsidRDefault="00A91961"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8628" w14:textId="77777777" w:rsidR="00A91961" w:rsidRDefault="00A91961" w:rsidP="00D41AF6">
      <w:pPr>
        <w:spacing w:after="0" w:line="240" w:lineRule="auto"/>
      </w:pPr>
      <w:r>
        <w:separator/>
      </w:r>
    </w:p>
  </w:footnote>
  <w:footnote w:type="continuationSeparator" w:id="0">
    <w:p w14:paraId="10B1874F" w14:textId="77777777" w:rsidR="00A91961" w:rsidRDefault="00A91961"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4"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14"/>
  </w:num>
  <w:num w:numId="4">
    <w:abstractNumId w:val="25"/>
  </w:num>
  <w:num w:numId="5">
    <w:abstractNumId w:val="0"/>
  </w:num>
  <w:num w:numId="6">
    <w:abstractNumId w:val="10"/>
  </w:num>
  <w:num w:numId="7">
    <w:abstractNumId w:val="24"/>
  </w:num>
  <w:num w:numId="8">
    <w:abstractNumId w:val="2"/>
  </w:num>
  <w:num w:numId="9">
    <w:abstractNumId w:val="13"/>
  </w:num>
  <w:num w:numId="10">
    <w:abstractNumId w:val="1"/>
  </w:num>
  <w:num w:numId="11">
    <w:abstractNumId w:val="23"/>
  </w:num>
  <w:num w:numId="12">
    <w:abstractNumId w:val="8"/>
  </w:num>
  <w:num w:numId="13">
    <w:abstractNumId w:val="18"/>
  </w:num>
  <w:num w:numId="14">
    <w:abstractNumId w:val="26"/>
  </w:num>
  <w:num w:numId="15">
    <w:abstractNumId w:val="21"/>
  </w:num>
  <w:num w:numId="16">
    <w:abstractNumId w:val="22"/>
  </w:num>
  <w:num w:numId="17">
    <w:abstractNumId w:val="12"/>
  </w:num>
  <w:num w:numId="18">
    <w:abstractNumId w:val="17"/>
  </w:num>
  <w:num w:numId="19">
    <w:abstractNumId w:val="3"/>
  </w:num>
  <w:num w:numId="20">
    <w:abstractNumId w:val="15"/>
  </w:num>
  <w:num w:numId="21">
    <w:abstractNumId w:val="7"/>
  </w:num>
  <w:num w:numId="22">
    <w:abstractNumId w:val="6"/>
  </w:num>
  <w:num w:numId="23">
    <w:abstractNumId w:val="9"/>
  </w:num>
  <w:num w:numId="24">
    <w:abstractNumId w:val="20"/>
  </w:num>
  <w:num w:numId="25">
    <w:abstractNumId w:val="27"/>
  </w:num>
  <w:num w:numId="26">
    <w:abstractNumId w:val="11"/>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5293B"/>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56B"/>
    <w:rsid w:val="00572152"/>
    <w:rsid w:val="005836BA"/>
    <w:rsid w:val="005B409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A0055"/>
    <w:rsid w:val="006A4D21"/>
    <w:rsid w:val="006C11D0"/>
    <w:rsid w:val="006D119A"/>
    <w:rsid w:val="006E48E6"/>
    <w:rsid w:val="006E6CB1"/>
    <w:rsid w:val="006F7A15"/>
    <w:rsid w:val="00701123"/>
    <w:rsid w:val="00717F36"/>
    <w:rsid w:val="00723BFF"/>
    <w:rsid w:val="0072735F"/>
    <w:rsid w:val="00732293"/>
    <w:rsid w:val="0076379B"/>
    <w:rsid w:val="00784D74"/>
    <w:rsid w:val="00793DEA"/>
    <w:rsid w:val="007A05BF"/>
    <w:rsid w:val="007C10FD"/>
    <w:rsid w:val="007D41F6"/>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618F-317A-4CB9-B6E8-D8D35161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4967</TotalTime>
  <Pages>18</Pages>
  <Words>3990</Words>
  <Characters>21548</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76</cp:revision>
  <cp:lastPrinted>2018-04-09T19:55:00Z</cp:lastPrinted>
  <dcterms:created xsi:type="dcterms:W3CDTF">2018-05-02T16:34:00Z</dcterms:created>
  <dcterms:modified xsi:type="dcterms:W3CDTF">2018-05-07T05:20:00Z</dcterms:modified>
</cp:coreProperties>
</file>