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SimSun" w:hAnsi="SimSun" w:eastAsia="宋体"/>
          <w:b/>
          <w:color w:val="1F4E79"/>
          <w:sz w:val="44"/>
        </w:rPr>
        <w:t>自动控制系统课程设计</w:t>
      </w:r>
    </w:p>
    <w:p>
      <w:pPr>
        <w:jc w:val="center"/>
      </w:pPr>
      <w:r>
        <w:rPr>
          <w:rFonts w:ascii="SimSun" w:hAnsi="SimSun" w:eastAsia="宋体"/>
          <w:b/>
          <w:sz w:val="36"/>
        </w:rPr>
        <w:t>基于 DeepSeek 辅助的电厂脱硝过程数据驱动建模与控制</w:t>
      </w:r>
    </w:p>
    <w:p/>
    <w:p/>
    <w:p/>
    <w:p/>
    <w:p/>
    <w:p>
      <w:pPr>
        <w:jc w:val="center"/>
      </w:pPr>
      <w:r>
        <w:rPr>
          <w:rFonts w:ascii="SimSun" w:hAnsi="SimSun" w:eastAsia="宋体"/>
          <w:b w:val="0"/>
          <w:sz w:val="22"/>
        </w:rPr>
        <w:t>研究对象：靖海电厂 1 号 600 MW 机组 SCR 脱硝过程</w:t>
      </w:r>
    </w:p>
    <w:p>
      <w:pPr>
        <w:jc w:val="center"/>
      </w:pPr>
      <w:r>
        <w:rPr>
          <w:rFonts w:ascii="SimSun" w:hAnsi="SimSun" w:eastAsia="宋体"/>
          <w:b w:val="0"/>
          <w:sz w:val="22"/>
        </w:rPr>
        <w:t>数据范围：2024-09-26 12:17:16 至 2024-09-27 18:17:16</w:t>
      </w:r>
    </w:p>
    <w:p>
      <w:pPr>
        <w:jc w:val="center"/>
      </w:pPr>
      <w:r>
        <w:rPr>
          <w:rFonts w:ascii="SimSun" w:hAnsi="SimSun" w:eastAsia="宋体"/>
          <w:b w:val="0"/>
          <w:sz w:val="22"/>
        </w:rPr>
        <w:t>主要方法：数据清洗 + 传统机器学习 + GRU + 约束喷氨优化</w:t>
      </w:r>
    </w:p>
    <w:p>
      <w:pPr>
        <w:jc w:val="center"/>
      </w:pPr>
      <w:r>
        <w:rPr>
          <w:rFonts w:ascii="SimSun" w:hAnsi="SimSun" w:eastAsia="宋体"/>
          <w:b w:val="0"/>
          <w:sz w:val="22"/>
        </w:rPr>
        <w:t>完成日期：2026-10-03</w:t>
      </w:r>
    </w:p>
    <w:p>
      <w:r>
        <w:br w:type="page"/>
      </w:r>
    </w:p>
    <w:p>
      <w:pPr>
        <w:pStyle w:val="Heading1"/>
      </w:pPr>
      <w:r>
        <w:rPr>
          <w:rFonts w:ascii="SimSun" w:hAnsi="SimSun" w:eastAsia="宋体"/>
          <w:b/>
          <w:color w:val="1F4E79"/>
          <w:sz w:val="28"/>
        </w:rPr>
        <w:t>摘要</w:t>
      </w:r>
    </w:p>
    <w:p>
      <w:pPr>
        <w:spacing w:line="324" w:lineRule="auto" w:after="120"/>
      </w:pPr>
      <w:r>
        <w:rPr>
          <w:rFonts w:ascii="SimSun" w:hAnsi="SimSun" w:eastAsia="宋体"/>
          <w:b w:val="0"/>
          <w:sz w:val="21"/>
        </w:rPr>
        <w:t>本设计使用靖海电厂 1 号 600 MW 机组脱硝实测数据，完成 SCR 脱硝过程的数据质量分析、时间对齐、动态特征构造、传统机器学习建模、深度学习建模和约束喷氨优化。原始数据包含 108,001 条 1 秒记录；剔除分析仪上限哨兵值、负氨流量和不稳定低负荷片段后，形成 10,314 个 10 秒稳定工况样本。随机森林在时间顺序测试集上的 RMSE 为 0.414 mg/Nm³，R² 为 0.9835；双层 GRU 用于提取时序模式，最终以 95% 随机森林和 5% GRU 组成保守融合通道。基于随机森林数字孪生模型，对 A/B 侧喷氨流量进行了带排放约束的离线优化。</w:t>
      </w:r>
    </w:p>
    <w:p>
      <w:pPr>
        <w:pStyle w:val="Heading2"/>
      </w:pPr>
      <w:r>
        <w:rPr>
          <w:rFonts w:ascii="SimSun" w:hAnsi="SimSun" w:eastAsia="宋体"/>
          <w:b/>
          <w:color w:val="2D2D2D"/>
          <w:sz w:val="24"/>
        </w:rPr>
        <w:t>关键词</w:t>
      </w:r>
    </w:p>
    <w:p>
      <w:pPr>
        <w:spacing w:line="324" w:lineRule="auto" w:after="120"/>
      </w:pPr>
      <w:r>
        <w:rPr>
          <w:rFonts w:ascii="SimSun" w:hAnsi="SimSun" w:eastAsia="宋体"/>
          <w:b w:val="0"/>
          <w:sz w:val="21"/>
        </w:rPr>
        <w:t>SCR 脱硝；NOx 预测；随机森林；GRU；数据驱动控制；DeepSeek API</w:t>
      </w:r>
    </w:p>
    <w:p>
      <w:pPr>
        <w:pStyle w:val="Heading1"/>
      </w:pPr>
      <w:r>
        <w:rPr>
          <w:rFonts w:ascii="SimSun" w:hAnsi="SimSun" w:eastAsia="宋体"/>
          <w:b/>
          <w:color w:val="1F4E79"/>
          <w:sz w:val="28"/>
        </w:rPr>
        <w:t>目录</w:t>
      </w:r>
    </w:p>
    <w:p>
      <w:pPr>
        <w:spacing w:line="324" w:lineRule="auto" w:after="120"/>
      </w:pPr>
      <w:r>
        <w:rPr>
          <w:rFonts w:ascii="SimSun" w:hAnsi="SimSun" w:eastAsia="宋体"/>
          <w:b w:val="0"/>
          <w:sz w:val="21"/>
        </w:rPr>
        <w:t>1 任务背景与工艺对象</w:t>
      </w:r>
    </w:p>
    <w:p>
      <w:pPr>
        <w:spacing w:line="324" w:lineRule="auto" w:after="120"/>
      </w:pPr>
      <w:r>
        <w:rPr>
          <w:rFonts w:ascii="SimSun" w:hAnsi="SimSun" w:eastAsia="宋体"/>
          <w:b w:val="0"/>
          <w:sz w:val="21"/>
        </w:rPr>
        <w:t>2 数据来源与预处理</w:t>
      </w:r>
    </w:p>
    <w:p>
      <w:pPr>
        <w:spacing w:line="324" w:lineRule="auto" w:after="120"/>
      </w:pPr>
      <w:r>
        <w:rPr>
          <w:rFonts w:ascii="SimSun" w:hAnsi="SimSun" w:eastAsia="宋体"/>
          <w:b w:val="0"/>
          <w:sz w:val="21"/>
        </w:rPr>
        <w:t>3 特征工程与建模方法</w:t>
      </w:r>
    </w:p>
    <w:p>
      <w:pPr>
        <w:spacing w:line="324" w:lineRule="auto" w:after="120"/>
      </w:pPr>
      <w:r>
        <w:rPr>
          <w:rFonts w:ascii="SimSun" w:hAnsi="SimSun" w:eastAsia="宋体"/>
          <w:b w:val="0"/>
          <w:sz w:val="21"/>
        </w:rPr>
        <w:t>4 模型精度评价</w:t>
      </w:r>
    </w:p>
    <w:p>
      <w:pPr>
        <w:spacing w:line="324" w:lineRule="auto" w:after="120"/>
      </w:pPr>
      <w:r>
        <w:rPr>
          <w:rFonts w:ascii="SimSun" w:hAnsi="SimSun" w:eastAsia="宋体"/>
          <w:b w:val="0"/>
          <w:sz w:val="21"/>
        </w:rPr>
        <w:t>5 变量重要性与工艺分析</w:t>
      </w:r>
    </w:p>
    <w:p>
      <w:pPr>
        <w:spacing w:line="324" w:lineRule="auto" w:after="120"/>
      </w:pPr>
      <w:r>
        <w:rPr>
          <w:rFonts w:ascii="SimSun" w:hAnsi="SimSun" w:eastAsia="宋体"/>
          <w:b w:val="0"/>
          <w:sz w:val="21"/>
        </w:rPr>
        <w:t>6 约束喷氨控制设计</w:t>
      </w:r>
    </w:p>
    <w:p>
      <w:pPr>
        <w:spacing w:line="324" w:lineRule="auto" w:after="120"/>
      </w:pPr>
      <w:r>
        <w:rPr>
          <w:rFonts w:ascii="SimSun" w:hAnsi="SimSun" w:eastAsia="宋体"/>
          <w:b w:val="0"/>
          <w:sz w:val="21"/>
        </w:rPr>
        <w:t>7 DeepSeek API 与网页系统</w:t>
      </w:r>
    </w:p>
    <w:p>
      <w:pPr>
        <w:spacing w:line="324" w:lineRule="auto" w:after="120"/>
      </w:pPr>
      <w:r>
        <w:rPr>
          <w:rFonts w:ascii="SimSun" w:hAnsi="SimSun" w:eastAsia="宋体"/>
          <w:b w:val="0"/>
          <w:sz w:val="21"/>
        </w:rPr>
        <w:t>8 结论与后续工作</w:t>
      </w:r>
    </w:p>
    <w:p>
      <w:r>
        <w:br w:type="page"/>
      </w:r>
    </w:p>
    <w:p>
      <w:pPr>
        <w:pStyle w:val="Heading1"/>
      </w:pPr>
      <w:r>
        <w:rPr>
          <w:rFonts w:ascii="SimSun" w:hAnsi="SimSun" w:eastAsia="宋体"/>
          <w:b/>
          <w:color w:val="1F4E79"/>
          <w:sz w:val="28"/>
        </w:rPr>
        <w:t>1 任务背景与工艺对象</w:t>
      </w:r>
    </w:p>
    <w:p>
      <w:pPr>
        <w:spacing w:line="324" w:lineRule="auto" w:after="120"/>
      </w:pPr>
      <w:r>
        <w:rPr>
          <w:rFonts w:ascii="SimSun" w:hAnsi="SimSun" w:eastAsia="宋体"/>
          <w:b w:val="0"/>
          <w:sz w:val="21"/>
        </w:rPr>
        <w:t>SCR 脱硝系统属于大时延、强耦合、非线性控制对象。入口 NOx、烟气温度、烟气量和机组负荷构成主要扰动通道；A/B 侧氨气流量和阀门指令构成主要控制通道；尾部烟道出口 NOx 是最终排放指标。喷氨不足会导致 NOx 超标，喷氨过量会增加氨耗并带来氨逃逸、硫酸氢铵沉积和空预器堵塞风险。</w:t>
      </w:r>
    </w:p>
    <w:p>
      <w:pPr>
        <w:spacing w:line="324" w:lineRule="auto" w:after="120"/>
      </w:pPr>
      <w:r>
        <w:rPr>
          <w:rFonts w:ascii="SimSun" w:hAnsi="SimSun" w:eastAsia="宋体"/>
          <w:b w:val="0"/>
          <w:sz w:val="21"/>
        </w:rPr>
        <w:t>本设计的建模目标是对稳定工况下尾部烟道出口 NOx 进行短时预测，并把预测模型用于离线喷氨量搜索。预测模型使用可在线获得的负荷、入口/出口 NOx、喷氨量、温度、风量、给煤量和历史 NOx 信息。</w:t>
      </w:r>
    </w:p>
    <w:p>
      <w:pPr>
        <w:pStyle w:val="Heading1"/>
      </w:pPr>
      <w:r>
        <w:rPr>
          <w:rFonts w:ascii="SimSun" w:hAnsi="SimSun" w:eastAsia="宋体"/>
          <w:b/>
          <w:color w:val="1F4E79"/>
          <w:sz w:val="28"/>
        </w:rPr>
        <w:t>2 数据来源与预处理</w:t>
      </w:r>
    </w:p>
    <w:p>
      <w:pPr>
        <w:spacing w:line="324" w:lineRule="auto" w:after="120"/>
      </w:pPr>
      <w:r>
        <w:rPr>
          <w:rFonts w:ascii="SimSun" w:hAnsi="SimSun" w:eastAsia="宋体"/>
          <w:b w:val="0"/>
          <w:sz w:val="21"/>
        </w:rPr>
        <w:t>数据文件包含一个工作表，原始记录 108,001 行、32 列，采样间隔为 1 s，覆盖 30.0 h。源表存在两个重复标签：A 侧氨流量和 A 侧反吹状态各重复一次；重复列经数值一致性检查后合并。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vAlign w:val="center"/>
          </w:tcPr>
          <w:p>
            <w:r>
              <w:rPr>
                <w:rFonts w:ascii="SimSun" w:hAnsi="SimSun" w:eastAsia="宋体"/>
                <w:b/>
                <w:sz w:val="19"/>
              </w:rPr>
              <w:t>质量项目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rPr>
                <w:rFonts w:ascii="SimSun" w:hAnsi="SimSun" w:eastAsia="宋体"/>
                <w:b/>
                <w:sz w:val="19"/>
              </w:rPr>
              <w:t>处理结果</w:t>
            </w:r>
          </w:p>
        </w:tc>
      </w:tr>
      <w:tr>
        <w:tc>
          <w:tcPr>
            <w:tcW w:type="dxa" w:w="4968"/>
          </w:tcPr>
          <w:p>
            <w:r>
              <w:rPr>
                <w:rFonts w:ascii="SimSun" w:hAnsi="SimSun" w:eastAsia="宋体"/>
                <w:b w:val="0"/>
                <w:sz w:val="18"/>
              </w:rPr>
              <w:t>尾部/A出口/B出口 NOx = 327.67</w:t>
            </w:r>
          </w:p>
        </w:tc>
        <w:tc>
          <w:tcPr>
            <w:tcW w:type="dxa" w:w="4968"/>
          </w:tcPr>
          <w:p>
            <w:r>
              <w:rPr>
                <w:rFonts w:ascii="SimSun" w:hAnsi="SimSun" w:eastAsia="宋体"/>
                <w:b w:val="0"/>
                <w:sz w:val="18"/>
              </w:rPr>
              <w:t>视为分析仪上限哨兵值并设为缺失</w:t>
            </w:r>
          </w:p>
        </w:tc>
      </w:tr>
      <w:tr>
        <w:tc>
          <w:tcPr>
            <w:tcW w:type="dxa" w:w="4968"/>
          </w:tcPr>
          <w:p>
            <w:r>
              <w:rPr>
                <w:rFonts w:ascii="SimSun" w:hAnsi="SimSun" w:eastAsia="宋体"/>
                <w:b w:val="0"/>
                <w:sz w:val="18"/>
              </w:rPr>
              <w:t>A/B侧氨流量 &lt; 0</w:t>
            </w:r>
          </w:p>
        </w:tc>
        <w:tc>
          <w:tcPr>
            <w:tcW w:type="dxa" w:w="4968"/>
          </w:tcPr>
          <w:p>
            <w:r>
              <w:rPr>
                <w:rFonts w:ascii="SimSun" w:hAnsi="SimSun" w:eastAsia="宋体"/>
                <w:b w:val="0"/>
                <w:sz w:val="18"/>
              </w:rPr>
              <w:t>视为无效测量并设为缺失</w:t>
            </w:r>
          </w:p>
        </w:tc>
      </w:tr>
      <w:tr>
        <w:tc>
          <w:tcPr>
            <w:tcW w:type="dxa" w:w="4968"/>
          </w:tcPr>
          <w:p>
            <w:r>
              <w:rPr>
                <w:rFonts w:ascii="SimSun" w:hAnsi="SimSun" w:eastAsia="宋体"/>
                <w:b w:val="0"/>
                <w:sz w:val="18"/>
              </w:rPr>
              <w:t>时间对齐</w:t>
            </w:r>
          </w:p>
        </w:tc>
        <w:tc>
          <w:tcPr>
            <w:tcW w:type="dxa" w:w="4968"/>
          </w:tcPr>
          <w:p>
            <w:r>
              <w:rPr>
                <w:rFonts w:ascii="SimSun" w:hAnsi="SimSun" w:eastAsia="宋体"/>
                <w:b w:val="0"/>
                <w:sz w:val="18"/>
              </w:rPr>
              <w:t>按时间索引排序，10 s 中位数聚合</w:t>
            </w:r>
          </w:p>
        </w:tc>
      </w:tr>
      <w:tr>
        <w:tc>
          <w:tcPr>
            <w:tcW w:type="dxa" w:w="4968"/>
          </w:tcPr>
          <w:p>
            <w:r>
              <w:rPr>
                <w:rFonts w:ascii="SimSun" w:hAnsi="SimSun" w:eastAsia="宋体"/>
                <w:b w:val="0"/>
                <w:sz w:val="18"/>
              </w:rPr>
              <w:t>短缺口</w:t>
            </w:r>
          </w:p>
        </w:tc>
        <w:tc>
          <w:tcPr>
            <w:tcW w:type="dxa" w:w="4968"/>
          </w:tcPr>
          <w:p>
            <w:r>
              <w:rPr>
                <w:rFonts w:ascii="SimSun" w:hAnsi="SimSun" w:eastAsia="宋体"/>
                <w:b w:val="0"/>
                <w:sz w:val="18"/>
              </w:rPr>
              <w:t>仅对不超过 3 个聚合点的数值缺口插值</w:t>
            </w:r>
          </w:p>
        </w:tc>
      </w:tr>
      <w:tr>
        <w:tc>
          <w:tcPr>
            <w:tcW w:type="dxa" w:w="4968"/>
          </w:tcPr>
          <w:p>
            <w:r>
              <w:rPr>
                <w:rFonts w:ascii="SimSun" w:hAnsi="SimSun" w:eastAsia="宋体"/>
                <w:b w:val="0"/>
                <w:sz w:val="18"/>
              </w:rPr>
              <w:t>稳定工况</w:t>
            </w:r>
          </w:p>
        </w:tc>
        <w:tc>
          <w:tcPr>
            <w:tcW w:type="dxa" w:w="4968"/>
          </w:tcPr>
          <w:p>
            <w:r>
              <w:rPr>
                <w:rFonts w:ascii="SimSun" w:hAnsi="SimSun" w:eastAsia="宋体"/>
                <w:b w:val="0"/>
                <w:sz w:val="18"/>
              </w:rPr>
              <w:t>负荷 ≥ 100 MW，温度、入口/出口 NOx 有效</w:t>
            </w:r>
          </w:p>
        </w:tc>
      </w:tr>
      <w:tr>
        <w:tc>
          <w:tcPr>
            <w:tcW w:type="dxa" w:w="4968"/>
          </w:tcPr>
          <w:p>
            <w:r>
              <w:rPr>
                <w:rFonts w:ascii="SimSun" w:hAnsi="SimSun" w:eastAsia="宋体"/>
                <w:b w:val="0"/>
                <w:sz w:val="18"/>
              </w:rPr>
              <w:t>数据划分</w:t>
            </w:r>
          </w:p>
        </w:tc>
        <w:tc>
          <w:tcPr>
            <w:tcW w:type="dxa" w:w="4968"/>
          </w:tcPr>
          <w:p>
            <w:r>
              <w:rPr>
                <w:rFonts w:ascii="SimSun" w:hAnsi="SimSun" w:eastAsia="宋体"/>
                <w:b w:val="0"/>
                <w:sz w:val="18"/>
              </w:rPr>
              <w:t>按时间 70%/15%/15%，不随机打乱</w:t>
            </w:r>
          </w:p>
        </w:tc>
      </w:tr>
    </w:tbl>
    <w:p>
      <w:pPr>
        <w:spacing w:line="324" w:lineRule="auto" w:after="120"/>
      </w:pPr>
      <w:r>
        <w:rPr>
          <w:rFonts w:ascii="SimSun" w:hAnsi="SimSun" w:eastAsia="宋体"/>
          <w:b w:val="0"/>
          <w:sz w:val="21"/>
        </w:rPr>
        <w:t>清洗后保留稳定工况样本占聚合数据的 95.49%。低负荷和分析仪饱和段仍保留在数据质量统计中，但不用于稳定工况预测器训练。</w:t>
      </w:r>
    </w:p>
    <w:p>
      <w:pPr>
        <w:pStyle w:val="Heading1"/>
      </w:pPr>
      <w:r>
        <w:rPr>
          <w:rFonts w:ascii="SimSun" w:hAnsi="SimSun" w:eastAsia="宋体"/>
          <w:b/>
          <w:color w:val="1F4E79"/>
          <w:sz w:val="28"/>
        </w:rPr>
        <w:t>3 特征工程与建模方法</w:t>
      </w:r>
    </w:p>
    <w:p>
      <w:pPr>
        <w:spacing w:line="324" w:lineRule="auto" w:after="120"/>
      </w:pPr>
      <w:r>
        <w:rPr>
          <w:rFonts w:ascii="SimSun" w:hAnsi="SimSun" w:eastAsia="宋体"/>
          <w:b w:val="0"/>
          <w:sz w:val="21"/>
        </w:rPr>
        <w:t>以尾部烟道出口 NOx 为预测目标。基础特征包括 A/B 侧入口与出口 NOx、A/B 侧氨流量和阀门指令、负荷、总风量、给煤总量、一次风总量、入口温度、设定值和运行状态。为描述 SCR 时滞，构造 10、30、60、120、240 s 滞后特征，同时构造氨总流量、入口 NOx 均值、出口 NOx 均值和脱硝效率。</w:t>
      </w:r>
    </w:p>
    <w:p>
      <w:pPr>
        <w:spacing w:line="324" w:lineRule="auto" w:after="120"/>
      </w:pPr>
      <w:r>
        <w:rPr>
          <w:rFonts w:ascii="SimSun" w:hAnsi="SimSun" w:eastAsia="宋体"/>
          <w:b w:val="0"/>
          <w:sz w:val="21"/>
        </w:rPr>
        <w:t>传统模型包含岭回归、ExtraTrees、随机森林和 HistGradientBoosting。深度模型为双层 GRU，输入最近 360 s 的 10 s 序列并预测下一个 10 s 的尾部 NOx。GRU 在训练时排除了少量尾部 NOx 大于 120 mg/Nm³ 的启动/切换窗口，避免极端异常点主导稳定工况学习。</w:t>
      </w:r>
    </w:p>
    <w:p>
      <w:pPr>
        <w:pStyle w:val="Heading1"/>
      </w:pPr>
      <w:r>
        <w:rPr>
          <w:rFonts w:ascii="SimSun" w:hAnsi="SimSun" w:eastAsia="宋体"/>
          <w:b/>
          <w:color w:val="1F4E79"/>
          <w:sz w:val="28"/>
        </w:rPr>
        <w:t>4 模型精度评价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D9EAF7"/>
            <w:vAlign w:val="center"/>
          </w:tcPr>
          <w:p>
            <w:r>
              <w:rPr>
                <w:rFonts w:ascii="SimSun" w:hAnsi="SimSun" w:eastAsia="宋体"/>
                <w:b/>
                <w:sz w:val="19"/>
              </w:rPr>
              <w:t>模型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rFonts w:ascii="SimSun" w:hAnsi="SimSun" w:eastAsia="宋体"/>
                <w:b/>
                <w:sz w:val="19"/>
              </w:rPr>
              <w:t>MAE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rFonts w:ascii="SimSun" w:hAnsi="SimSun" w:eastAsia="宋体"/>
                <w:b/>
                <w:sz w:val="19"/>
              </w:rPr>
              <w:t>RMSE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rFonts w:ascii="SimSun" w:hAnsi="SimSun" w:eastAsia="宋体"/>
                <w:b/>
                <w:sz w:val="19"/>
              </w:rPr>
              <w:t>R²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rFonts w:ascii="SimSun" w:hAnsi="SimSun" w:eastAsia="宋体"/>
                <w:b/>
                <w:sz w:val="19"/>
              </w:rPr>
              <w:t>SMAPE</w:t>
            </w:r>
          </w:p>
        </w:tc>
      </w:tr>
      <w:tr>
        <w:tc>
          <w:tcPr>
            <w:tcW w:type="dxa" w:w="1987"/>
          </w:tcPr>
          <w:p>
            <w:r>
              <w:rPr>
                <w:rFonts w:ascii="SimSun" w:hAnsi="SimSun" w:eastAsia="宋体"/>
                <w:b w:val="0"/>
                <w:sz w:val="18"/>
              </w:rPr>
              <w:t>持续性基线</w:t>
            </w:r>
          </w:p>
        </w:tc>
        <w:tc>
          <w:tcPr>
            <w:tcW w:type="dxa" w:w="1987"/>
          </w:tcPr>
          <w:p>
            <w:r>
              <w:rPr>
                <w:rFonts w:ascii="SimSun" w:hAnsi="SimSun" w:eastAsia="宋体"/>
                <w:b w:val="0"/>
                <w:sz w:val="18"/>
              </w:rPr>
              <w:t>0.158</w:t>
            </w:r>
          </w:p>
        </w:tc>
        <w:tc>
          <w:tcPr>
            <w:tcW w:type="dxa" w:w="1987"/>
          </w:tcPr>
          <w:p>
            <w:r>
              <w:rPr>
                <w:rFonts w:ascii="SimSun" w:hAnsi="SimSun" w:eastAsia="宋体"/>
                <w:b w:val="0"/>
                <w:sz w:val="18"/>
              </w:rPr>
              <w:t>0.342</w:t>
            </w:r>
          </w:p>
        </w:tc>
        <w:tc>
          <w:tcPr>
            <w:tcW w:type="dxa" w:w="1987"/>
          </w:tcPr>
          <w:p>
            <w:r>
              <w:rPr>
                <w:rFonts w:ascii="SimSun" w:hAnsi="SimSun" w:eastAsia="宋体"/>
                <w:b w:val="0"/>
                <w:sz w:val="18"/>
              </w:rPr>
              <w:t>0.9888</w:t>
            </w:r>
          </w:p>
        </w:tc>
        <w:tc>
          <w:tcPr>
            <w:tcW w:type="dxa" w:w="1987"/>
          </w:tcPr>
          <w:p>
            <w:r>
              <w:rPr>
                <w:rFonts w:ascii="SimSun" w:hAnsi="SimSun" w:eastAsia="宋体"/>
                <w:b w:val="0"/>
                <w:sz w:val="18"/>
              </w:rPr>
              <w:t>0.42%</w:t>
            </w:r>
          </w:p>
        </w:tc>
      </w:tr>
      <w:tr>
        <w:tc>
          <w:tcPr>
            <w:tcW w:type="dxa" w:w="1987"/>
          </w:tcPr>
          <w:p>
            <w:r>
              <w:rPr>
                <w:rFonts w:ascii="SimSun" w:hAnsi="SimSun" w:eastAsia="宋体"/>
                <w:b w:val="0"/>
                <w:sz w:val="18"/>
              </w:rPr>
              <w:t>岭回归</w:t>
            </w:r>
          </w:p>
        </w:tc>
        <w:tc>
          <w:tcPr>
            <w:tcW w:type="dxa" w:w="1987"/>
          </w:tcPr>
          <w:p>
            <w:r>
              <w:rPr>
                <w:rFonts w:ascii="SimSun" w:hAnsi="SimSun" w:eastAsia="宋体"/>
                <w:b w:val="0"/>
                <w:sz w:val="18"/>
              </w:rPr>
              <w:t>0.849</w:t>
            </w:r>
          </w:p>
        </w:tc>
        <w:tc>
          <w:tcPr>
            <w:tcW w:type="dxa" w:w="1987"/>
          </w:tcPr>
          <w:p>
            <w:r>
              <w:rPr>
                <w:rFonts w:ascii="SimSun" w:hAnsi="SimSun" w:eastAsia="宋体"/>
                <w:b w:val="0"/>
                <w:sz w:val="18"/>
              </w:rPr>
              <w:t>0.912</w:t>
            </w:r>
          </w:p>
        </w:tc>
        <w:tc>
          <w:tcPr>
            <w:tcW w:type="dxa" w:w="1987"/>
          </w:tcPr>
          <w:p>
            <w:r>
              <w:rPr>
                <w:rFonts w:ascii="SimSun" w:hAnsi="SimSun" w:eastAsia="宋体"/>
                <w:b w:val="0"/>
                <w:sz w:val="18"/>
              </w:rPr>
              <w:t>0.9199</w:t>
            </w:r>
          </w:p>
        </w:tc>
        <w:tc>
          <w:tcPr>
            <w:tcW w:type="dxa" w:w="1987"/>
          </w:tcPr>
          <w:p>
            <w:r>
              <w:rPr>
                <w:rFonts w:ascii="SimSun" w:hAnsi="SimSun" w:eastAsia="宋体"/>
                <w:b w:val="0"/>
                <w:sz w:val="18"/>
              </w:rPr>
              <w:t>2.28%</w:t>
            </w:r>
          </w:p>
        </w:tc>
      </w:tr>
      <w:tr>
        <w:tc>
          <w:tcPr>
            <w:tcW w:type="dxa" w:w="1987"/>
          </w:tcPr>
          <w:p>
            <w:r>
              <w:rPr>
                <w:rFonts w:ascii="SimSun" w:hAnsi="SimSun" w:eastAsia="宋体"/>
                <w:b w:val="0"/>
                <w:sz w:val="18"/>
              </w:rPr>
              <w:t>ExtraTrees</w:t>
            </w:r>
          </w:p>
        </w:tc>
        <w:tc>
          <w:tcPr>
            <w:tcW w:type="dxa" w:w="1987"/>
          </w:tcPr>
          <w:p>
            <w:r>
              <w:rPr>
                <w:rFonts w:ascii="SimSun" w:hAnsi="SimSun" w:eastAsia="宋体"/>
                <w:b w:val="0"/>
                <w:sz w:val="18"/>
              </w:rPr>
              <w:t>0.663</w:t>
            </w:r>
          </w:p>
        </w:tc>
        <w:tc>
          <w:tcPr>
            <w:tcW w:type="dxa" w:w="1987"/>
          </w:tcPr>
          <w:p>
            <w:r>
              <w:rPr>
                <w:rFonts w:ascii="SimSun" w:hAnsi="SimSun" w:eastAsia="宋体"/>
                <w:b w:val="0"/>
                <w:sz w:val="18"/>
              </w:rPr>
              <w:t>0.760</w:t>
            </w:r>
          </w:p>
        </w:tc>
        <w:tc>
          <w:tcPr>
            <w:tcW w:type="dxa" w:w="1987"/>
          </w:tcPr>
          <w:p>
            <w:r>
              <w:rPr>
                <w:rFonts w:ascii="SimSun" w:hAnsi="SimSun" w:eastAsia="宋体"/>
                <w:b w:val="0"/>
                <w:sz w:val="18"/>
              </w:rPr>
              <w:t>0.9443</w:t>
            </w:r>
          </w:p>
        </w:tc>
        <w:tc>
          <w:tcPr>
            <w:tcW w:type="dxa" w:w="1987"/>
          </w:tcPr>
          <w:p>
            <w:r>
              <w:rPr>
                <w:rFonts w:ascii="SimSun" w:hAnsi="SimSun" w:eastAsia="宋体"/>
                <w:b w:val="0"/>
                <w:sz w:val="18"/>
              </w:rPr>
              <w:t>1.74%</w:t>
            </w:r>
          </w:p>
        </w:tc>
      </w:tr>
      <w:tr>
        <w:tc>
          <w:tcPr>
            <w:tcW w:type="dxa" w:w="1987"/>
          </w:tcPr>
          <w:p>
            <w:r>
              <w:rPr>
                <w:rFonts w:ascii="SimSun" w:hAnsi="SimSun" w:eastAsia="宋体"/>
                <w:b w:val="0"/>
                <w:sz w:val="18"/>
              </w:rPr>
              <w:t>随机森林</w:t>
            </w:r>
          </w:p>
        </w:tc>
        <w:tc>
          <w:tcPr>
            <w:tcW w:type="dxa" w:w="1987"/>
          </w:tcPr>
          <w:p>
            <w:r>
              <w:rPr>
                <w:rFonts w:ascii="SimSun" w:hAnsi="SimSun" w:eastAsia="宋体"/>
                <w:b w:val="0"/>
                <w:sz w:val="18"/>
              </w:rPr>
              <w:t>0.302</w:t>
            </w:r>
          </w:p>
        </w:tc>
        <w:tc>
          <w:tcPr>
            <w:tcW w:type="dxa" w:w="1987"/>
          </w:tcPr>
          <w:p>
            <w:r>
              <w:rPr>
                <w:rFonts w:ascii="SimSun" w:hAnsi="SimSun" w:eastAsia="宋体"/>
                <w:b w:val="0"/>
                <w:sz w:val="18"/>
              </w:rPr>
              <w:t>0.414</w:t>
            </w:r>
          </w:p>
        </w:tc>
        <w:tc>
          <w:tcPr>
            <w:tcW w:type="dxa" w:w="1987"/>
          </w:tcPr>
          <w:p>
            <w:r>
              <w:rPr>
                <w:rFonts w:ascii="SimSun" w:hAnsi="SimSun" w:eastAsia="宋体"/>
                <w:b w:val="0"/>
                <w:sz w:val="18"/>
              </w:rPr>
              <w:t>0.9835</w:t>
            </w:r>
          </w:p>
        </w:tc>
        <w:tc>
          <w:tcPr>
            <w:tcW w:type="dxa" w:w="1987"/>
          </w:tcPr>
          <w:p>
            <w:r>
              <w:rPr>
                <w:rFonts w:ascii="SimSun" w:hAnsi="SimSun" w:eastAsia="宋体"/>
                <w:b w:val="0"/>
                <w:sz w:val="18"/>
              </w:rPr>
              <w:t>0.80%</w:t>
            </w:r>
          </w:p>
        </w:tc>
      </w:tr>
      <w:tr>
        <w:tc>
          <w:tcPr>
            <w:tcW w:type="dxa" w:w="1987"/>
          </w:tcPr>
          <w:p>
            <w:r>
              <w:rPr>
                <w:rFonts w:ascii="SimSun" w:hAnsi="SimSun" w:eastAsia="宋体"/>
                <w:b w:val="0"/>
                <w:sz w:val="18"/>
              </w:rPr>
              <w:t>双层 GRU</w:t>
            </w:r>
          </w:p>
        </w:tc>
        <w:tc>
          <w:tcPr>
            <w:tcW w:type="dxa" w:w="1987"/>
          </w:tcPr>
          <w:p>
            <w:r>
              <w:rPr>
                <w:rFonts w:ascii="SimSun" w:hAnsi="SimSun" w:eastAsia="宋体"/>
                <w:b w:val="0"/>
                <w:sz w:val="18"/>
              </w:rPr>
              <w:t>1.005</w:t>
            </w:r>
          </w:p>
        </w:tc>
        <w:tc>
          <w:tcPr>
            <w:tcW w:type="dxa" w:w="1987"/>
          </w:tcPr>
          <w:p>
            <w:r>
              <w:rPr>
                <w:rFonts w:ascii="SimSun" w:hAnsi="SimSun" w:eastAsia="宋体"/>
                <w:b w:val="0"/>
                <w:sz w:val="18"/>
              </w:rPr>
              <w:t>1.156</w:t>
            </w:r>
          </w:p>
        </w:tc>
        <w:tc>
          <w:tcPr>
            <w:tcW w:type="dxa" w:w="1987"/>
          </w:tcPr>
          <w:p>
            <w:r>
              <w:rPr>
                <w:rFonts w:ascii="SimSun" w:hAnsi="SimSun" w:eastAsia="宋体"/>
                <w:b w:val="0"/>
                <w:sz w:val="18"/>
              </w:rPr>
              <w:t>0.8714</w:t>
            </w:r>
          </w:p>
        </w:tc>
        <w:tc>
          <w:tcPr>
            <w:tcW w:type="dxa" w:w="1987"/>
          </w:tcPr>
          <w:p>
            <w:r>
              <w:rPr>
                <w:rFonts w:ascii="SimSun" w:hAnsi="SimSun" w:eastAsia="宋体"/>
                <w:b w:val="0"/>
                <w:sz w:val="18"/>
              </w:rPr>
              <w:t>2.61%</w:t>
            </w:r>
          </w:p>
        </w:tc>
      </w:tr>
      <w:tr>
        <w:tc>
          <w:tcPr>
            <w:tcW w:type="dxa" w:w="1987"/>
          </w:tcPr>
          <w:p>
            <w:r>
              <w:rPr>
                <w:rFonts w:ascii="SimSun" w:hAnsi="SimSun" w:eastAsia="宋体"/>
                <w:b w:val="0"/>
                <w:sz w:val="18"/>
              </w:rPr>
              <w:t>95/5 融合</w:t>
            </w:r>
          </w:p>
        </w:tc>
        <w:tc>
          <w:tcPr>
            <w:tcW w:type="dxa" w:w="1987"/>
          </w:tcPr>
          <w:p>
            <w:r>
              <w:rPr>
                <w:rFonts w:ascii="SimSun" w:hAnsi="SimSun" w:eastAsia="宋体"/>
                <w:b w:val="0"/>
                <w:sz w:val="18"/>
              </w:rPr>
              <w:t>0.322</w:t>
            </w:r>
          </w:p>
        </w:tc>
        <w:tc>
          <w:tcPr>
            <w:tcW w:type="dxa" w:w="1987"/>
          </w:tcPr>
          <w:p>
            <w:r>
              <w:rPr>
                <w:rFonts w:ascii="SimSun" w:hAnsi="SimSun" w:eastAsia="宋体"/>
                <w:b w:val="0"/>
                <w:sz w:val="18"/>
              </w:rPr>
              <w:t>0.429</w:t>
            </w:r>
          </w:p>
        </w:tc>
        <w:tc>
          <w:tcPr>
            <w:tcW w:type="dxa" w:w="1987"/>
          </w:tcPr>
          <w:p>
            <w:r>
              <w:rPr>
                <w:rFonts w:ascii="SimSun" w:hAnsi="SimSun" w:eastAsia="宋体"/>
                <w:b w:val="0"/>
                <w:sz w:val="18"/>
              </w:rPr>
              <w:t>0.9823</w:t>
            </w:r>
          </w:p>
        </w:tc>
        <w:tc>
          <w:tcPr>
            <w:tcW w:type="dxa" w:w="1987"/>
          </w:tcPr>
          <w:p>
            <w:r>
              <w:rPr>
                <w:rFonts w:ascii="SimSun" w:hAnsi="SimSun" w:eastAsia="宋体"/>
                <w:b w:val="0"/>
                <w:sz w:val="18"/>
              </w:rPr>
              <w:t>0.86%</w:t>
            </w:r>
          </w:p>
        </w:tc>
      </w:tr>
    </w:tbl>
    <w:p>
      <w:pPr>
        <w:spacing w:line="324" w:lineRule="auto" w:after="120"/>
      </w:pPr>
      <w:r>
        <w:rPr>
          <w:rFonts w:ascii="SimSun" w:hAnsi="SimSun" w:eastAsia="宋体"/>
          <w:b w:val="0"/>
          <w:sz w:val="21"/>
        </w:rPr>
        <w:t>随机森林是当前数据和特征设计下的最优主模型，测试集 RMSE 为 0.414 mg/Nm³，R² 为 0.9835。持续性基线的误差也较小，说明 10 s 聚合后的过程具有明显惯性；因此模型适合作为短时预测和控制辅助，不应绕过现场联锁直接替代闭环保护。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042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diction_te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042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SimSun" w:hAnsi="SimSun" w:eastAsia="宋体"/>
          <w:b/>
          <w:color w:val="1F4E79"/>
          <w:sz w:val="28"/>
        </w:rPr>
        <w:t>5 变量重要性与工艺分析</w:t>
      </w:r>
    </w:p>
    <w:p>
      <w:pPr>
        <w:spacing w:line="324" w:lineRule="auto" w:after="120"/>
      </w:pPr>
      <w:r>
        <w:rPr>
          <w:rFonts w:ascii="SimSun" w:hAnsi="SimSun" w:eastAsia="宋体"/>
          <w:b w:val="0"/>
          <w:sz w:val="21"/>
        </w:rPr>
        <w:t>随机森林置换重要性表明，尾部 NOx 历史值、A/B 侧出口 NOx 的历史值和历史脱硝效率是主要信息源，符合 SCR 反应器大时延和过程惯性。入口 NOx、喷氨量、烟气温度与负荷提供扰动和操纵信息。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vAlign w:val="center"/>
          </w:tcPr>
          <w:p>
            <w:r>
              <w:rPr>
                <w:rFonts w:ascii="SimSun" w:hAnsi="SimSun" w:eastAsia="宋体"/>
                <w:b/>
                <w:sz w:val="19"/>
              </w:rPr>
              <w:t>特征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rPr>
                <w:rFonts w:ascii="SimSun" w:hAnsi="SimSun" w:eastAsia="宋体"/>
                <w:b/>
                <w:sz w:val="19"/>
              </w:rPr>
              <w:t>置换重要性</w:t>
            </w:r>
          </w:p>
        </w:tc>
      </w:tr>
      <w:tr>
        <w:tc>
          <w:tcPr>
            <w:tcW w:type="dxa" w:w="4968"/>
          </w:tcPr>
          <w:p>
            <w:r>
              <w:rPr>
                <w:rFonts w:ascii="SimSun" w:hAnsi="SimSun" w:eastAsia="宋体"/>
                <w:b w:val="0"/>
                <w:sz w:val="18"/>
              </w:rPr>
              <w:t>tail_lag1</w:t>
            </w:r>
          </w:p>
        </w:tc>
        <w:tc>
          <w:tcPr>
            <w:tcW w:type="dxa" w:w="4968"/>
          </w:tcPr>
          <w:p>
            <w:r>
              <w:rPr>
                <w:rFonts w:ascii="SimSun" w:hAnsi="SimSun" w:eastAsia="宋体"/>
                <w:b w:val="0"/>
                <w:sz w:val="18"/>
              </w:rPr>
              <w:t>3.5218</w:t>
            </w:r>
          </w:p>
        </w:tc>
      </w:tr>
      <w:tr>
        <w:tc>
          <w:tcPr>
            <w:tcW w:type="dxa" w:w="4968"/>
          </w:tcPr>
          <w:p>
            <w:r>
              <w:rPr>
                <w:rFonts w:ascii="SimSun" w:hAnsi="SimSun" w:eastAsia="宋体"/>
                <w:b w:val="0"/>
                <w:sz w:val="18"/>
              </w:rPr>
              <w:t>tail_lag3</w:t>
            </w:r>
          </w:p>
        </w:tc>
        <w:tc>
          <w:tcPr>
            <w:tcW w:type="dxa" w:w="4968"/>
          </w:tcPr>
          <w:p>
            <w:r>
              <w:rPr>
                <w:rFonts w:ascii="SimSun" w:hAnsi="SimSun" w:eastAsia="宋体"/>
                <w:b w:val="0"/>
                <w:sz w:val="18"/>
              </w:rPr>
              <w:t>0.2050</w:t>
            </w:r>
          </w:p>
        </w:tc>
      </w:tr>
      <w:tr>
        <w:tc>
          <w:tcPr>
            <w:tcW w:type="dxa" w:w="4968"/>
          </w:tcPr>
          <w:p>
            <w:r>
              <w:rPr>
                <w:rFonts w:ascii="SimSun" w:hAnsi="SimSun" w:eastAsia="宋体"/>
                <w:b w:val="0"/>
                <w:sz w:val="18"/>
              </w:rPr>
              <w:t>noout_mean_lag6</w:t>
            </w:r>
          </w:p>
        </w:tc>
        <w:tc>
          <w:tcPr>
            <w:tcW w:type="dxa" w:w="4968"/>
          </w:tcPr>
          <w:p>
            <w:r>
              <w:rPr>
                <w:rFonts w:ascii="SimSun" w:hAnsi="SimSun" w:eastAsia="宋体"/>
                <w:b w:val="0"/>
                <w:sz w:val="18"/>
              </w:rPr>
              <w:t>0.0377</w:t>
            </w:r>
          </w:p>
        </w:tc>
      </w:tr>
      <w:tr>
        <w:tc>
          <w:tcPr>
            <w:tcW w:type="dxa" w:w="4968"/>
          </w:tcPr>
          <w:p>
            <w:r>
              <w:rPr>
                <w:rFonts w:ascii="SimSun" w:hAnsi="SimSun" w:eastAsia="宋体"/>
                <w:b w:val="0"/>
                <w:sz w:val="18"/>
              </w:rPr>
              <w:t>noout_mean_lag12</w:t>
            </w:r>
          </w:p>
        </w:tc>
        <w:tc>
          <w:tcPr>
            <w:tcW w:type="dxa" w:w="4968"/>
          </w:tcPr>
          <w:p>
            <w:r>
              <w:rPr>
                <w:rFonts w:ascii="SimSun" w:hAnsi="SimSun" w:eastAsia="宋体"/>
                <w:b w:val="0"/>
                <w:sz w:val="18"/>
              </w:rPr>
              <w:t>0.0124</w:t>
            </w:r>
          </w:p>
        </w:tc>
      </w:tr>
      <w:tr>
        <w:tc>
          <w:tcPr>
            <w:tcW w:type="dxa" w:w="4968"/>
          </w:tcPr>
          <w:p>
            <w:r>
              <w:rPr>
                <w:rFonts w:ascii="SimSun" w:hAnsi="SimSun" w:eastAsia="宋体"/>
                <w:b w:val="0"/>
                <w:sz w:val="18"/>
              </w:rPr>
              <w:t>noout_a_lag12</w:t>
            </w:r>
          </w:p>
        </w:tc>
        <w:tc>
          <w:tcPr>
            <w:tcW w:type="dxa" w:w="4968"/>
          </w:tcPr>
          <w:p>
            <w:r>
              <w:rPr>
                <w:rFonts w:ascii="SimSun" w:hAnsi="SimSun" w:eastAsia="宋体"/>
                <w:b w:val="0"/>
                <w:sz w:val="18"/>
              </w:rPr>
              <w:t>0.0097</w:t>
            </w:r>
          </w:p>
        </w:tc>
      </w:tr>
      <w:tr>
        <w:tc>
          <w:tcPr>
            <w:tcW w:type="dxa" w:w="4968"/>
          </w:tcPr>
          <w:p>
            <w:r>
              <w:rPr>
                <w:rFonts w:ascii="SimSun" w:hAnsi="SimSun" w:eastAsia="宋体"/>
                <w:b w:val="0"/>
                <w:sz w:val="18"/>
              </w:rPr>
              <w:t>noout_a_lag6</w:t>
            </w:r>
          </w:p>
        </w:tc>
        <w:tc>
          <w:tcPr>
            <w:tcW w:type="dxa" w:w="4968"/>
          </w:tcPr>
          <w:p>
            <w:r>
              <w:rPr>
                <w:rFonts w:ascii="SimSun" w:hAnsi="SimSun" w:eastAsia="宋体"/>
                <w:b w:val="0"/>
                <w:sz w:val="18"/>
              </w:rPr>
              <w:t>0.0059</w:t>
            </w:r>
          </w:p>
        </w:tc>
      </w:tr>
      <w:tr>
        <w:tc>
          <w:tcPr>
            <w:tcW w:type="dxa" w:w="4968"/>
          </w:tcPr>
          <w:p>
            <w:r>
              <w:rPr>
                <w:rFonts w:ascii="SimSun" w:hAnsi="SimSun" w:eastAsia="宋体"/>
                <w:b w:val="0"/>
                <w:sz w:val="18"/>
              </w:rPr>
              <w:t>removal_eff_lag6</w:t>
            </w:r>
          </w:p>
        </w:tc>
        <w:tc>
          <w:tcPr>
            <w:tcW w:type="dxa" w:w="4968"/>
          </w:tcPr>
          <w:p>
            <w:r>
              <w:rPr>
                <w:rFonts w:ascii="SimSun" w:hAnsi="SimSun" w:eastAsia="宋体"/>
                <w:b w:val="0"/>
                <w:sz w:val="18"/>
              </w:rPr>
              <w:t>0.0033</w:t>
            </w:r>
          </w:p>
        </w:tc>
      </w:tr>
      <w:tr>
        <w:tc>
          <w:tcPr>
            <w:tcW w:type="dxa" w:w="4968"/>
          </w:tcPr>
          <w:p>
            <w:r>
              <w:rPr>
                <w:rFonts w:ascii="SimSun" w:hAnsi="SimSun" w:eastAsia="宋体"/>
                <w:b w:val="0"/>
                <w:sz w:val="18"/>
              </w:rPr>
              <w:t>noout_mean_lag3</w:t>
            </w:r>
          </w:p>
        </w:tc>
        <w:tc>
          <w:tcPr>
            <w:tcW w:type="dxa" w:w="4968"/>
          </w:tcPr>
          <w:p>
            <w:r>
              <w:rPr>
                <w:rFonts w:ascii="SimSun" w:hAnsi="SimSun" w:eastAsia="宋体"/>
                <w:b w:val="0"/>
                <w:sz w:val="18"/>
              </w:rPr>
              <w:t>0.0030</w:t>
            </w:r>
          </w:p>
        </w:tc>
      </w:tr>
      <w:tr>
        <w:tc>
          <w:tcPr>
            <w:tcW w:type="dxa" w:w="4968"/>
          </w:tcPr>
          <w:p>
            <w:r>
              <w:rPr>
                <w:rFonts w:ascii="SimSun" w:hAnsi="SimSun" w:eastAsia="宋体"/>
                <w:b w:val="0"/>
                <w:sz w:val="18"/>
              </w:rPr>
              <w:t>removal_eff_lag12</w:t>
            </w:r>
          </w:p>
        </w:tc>
        <w:tc>
          <w:tcPr>
            <w:tcW w:type="dxa" w:w="4968"/>
          </w:tcPr>
          <w:p>
            <w:r>
              <w:rPr>
                <w:rFonts w:ascii="SimSun" w:hAnsi="SimSun" w:eastAsia="宋体"/>
                <w:b w:val="0"/>
                <w:sz w:val="18"/>
              </w:rPr>
              <w:t>0.0021</w:t>
            </w:r>
          </w:p>
        </w:tc>
      </w:tr>
      <w:tr>
        <w:tc>
          <w:tcPr>
            <w:tcW w:type="dxa" w:w="4968"/>
          </w:tcPr>
          <w:p>
            <w:r>
              <w:rPr>
                <w:rFonts w:ascii="SimSun" w:hAnsi="SimSun" w:eastAsia="宋体"/>
                <w:b w:val="0"/>
                <w:sz w:val="18"/>
              </w:rPr>
              <w:t>removal_eff_lag1</w:t>
            </w:r>
          </w:p>
        </w:tc>
        <w:tc>
          <w:tcPr>
            <w:tcW w:type="dxa" w:w="4968"/>
          </w:tcPr>
          <w:p>
            <w:r>
              <w:rPr>
                <w:rFonts w:ascii="SimSun" w:hAnsi="SimSun" w:eastAsia="宋体"/>
                <w:b w:val="0"/>
                <w:sz w:val="18"/>
              </w:rPr>
              <w:t>0.0021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063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63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SimSun" w:hAnsi="SimSun" w:eastAsia="宋体"/>
          <w:b/>
          <w:color w:val="1F4E79"/>
          <w:sz w:val="28"/>
        </w:rPr>
        <w:t>6 约束喷氨控制设计</w:t>
      </w:r>
    </w:p>
    <w:p>
      <w:pPr>
        <w:spacing w:line="324" w:lineRule="auto" w:after="120"/>
      </w:pPr>
      <w:r>
        <w:rPr>
          <w:rFonts w:ascii="SimSun" w:hAnsi="SimSun" w:eastAsia="宋体"/>
          <w:b w:val="0"/>
          <w:sz w:val="21"/>
        </w:rPr>
        <w:t>使用随机森林作为数据驱动数字孪生模型，在当前 A/B 侧氨流量的 0.80–1.20 倍范围内进行网格搜索。约束条件为预测尾部 NOx 不高于当前设定值加 2 mg/Nm³，目标是在满足约束的候选解中最小化总氨流量。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  <w:vAlign w:val="center"/>
          </w:tcPr>
          <w:p>
            <w:r>
              <w:rPr>
                <w:rFonts w:ascii="SimSun" w:hAnsi="SimSun" w:eastAsia="宋体"/>
                <w:b/>
                <w:sz w:val="19"/>
              </w:rPr>
              <w:t>项目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rFonts w:ascii="SimSun" w:hAnsi="SimSun" w:eastAsia="宋体"/>
                <w:b/>
                <w:sz w:val="19"/>
              </w:rPr>
              <w:t>当前值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rFonts w:ascii="SimSun" w:hAnsi="SimSun" w:eastAsia="宋体"/>
                <w:b/>
                <w:sz w:val="19"/>
              </w:rPr>
              <w:t>离线推荐</w:t>
            </w:r>
          </w:p>
        </w:tc>
      </w:tr>
      <w:tr>
        <w:tc>
          <w:tcPr>
            <w:tcW w:type="dxa" w:w="3312"/>
          </w:tcPr>
          <w:p>
            <w:r>
              <w:rPr>
                <w:rFonts w:ascii="SimSun" w:hAnsi="SimSun" w:eastAsia="宋体"/>
                <w:b w:val="0"/>
                <w:sz w:val="18"/>
              </w:rPr>
              <w:t>负荷</w:t>
            </w:r>
          </w:p>
        </w:tc>
        <w:tc>
          <w:tcPr>
            <w:tcW w:type="dxa" w:w="3312"/>
          </w:tcPr>
          <w:p>
            <w:r>
              <w:rPr>
                <w:rFonts w:ascii="SimSun" w:hAnsi="SimSun" w:eastAsia="宋体"/>
                <w:b w:val="0"/>
                <w:sz w:val="18"/>
              </w:rPr>
              <w:t>543.4 MW</w:t>
            </w:r>
          </w:p>
        </w:tc>
        <w:tc>
          <w:tcPr>
            <w:tcW w:type="dxa" w:w="3312"/>
          </w:tcPr>
          <w:p>
            <w:r>
              <w:rPr>
                <w:rFonts w:ascii="SimSun" w:hAnsi="SimSun" w:eastAsia="宋体"/>
                <w:b w:val="0"/>
                <w:sz w:val="18"/>
              </w:rPr>
              <w:t>543.4 MW</w:t>
            </w:r>
          </w:p>
        </w:tc>
      </w:tr>
      <w:tr>
        <w:tc>
          <w:tcPr>
            <w:tcW w:type="dxa" w:w="3312"/>
          </w:tcPr>
          <w:p>
            <w:r>
              <w:rPr>
                <w:rFonts w:ascii="SimSun" w:hAnsi="SimSun" w:eastAsia="宋体"/>
                <w:b w:val="0"/>
                <w:sz w:val="18"/>
              </w:rPr>
              <w:t>A侧氨流量</w:t>
            </w:r>
          </w:p>
        </w:tc>
        <w:tc>
          <w:tcPr>
            <w:tcW w:type="dxa" w:w="3312"/>
          </w:tcPr>
          <w:p>
            <w:r>
              <w:rPr>
                <w:rFonts w:ascii="SimSun" w:hAnsi="SimSun" w:eastAsia="宋体"/>
                <w:b w:val="0"/>
                <w:sz w:val="18"/>
              </w:rPr>
              <w:t>63.30 kg/h</w:t>
            </w:r>
          </w:p>
        </w:tc>
        <w:tc>
          <w:tcPr>
            <w:tcW w:type="dxa" w:w="3312"/>
          </w:tcPr>
          <w:p>
            <w:r>
              <w:rPr>
                <w:rFonts w:ascii="SimSun" w:hAnsi="SimSun" w:eastAsia="宋体"/>
                <w:b w:val="0"/>
                <w:sz w:val="18"/>
              </w:rPr>
              <w:t>50.64 kg/h</w:t>
            </w:r>
          </w:p>
        </w:tc>
      </w:tr>
      <w:tr>
        <w:tc>
          <w:tcPr>
            <w:tcW w:type="dxa" w:w="3312"/>
          </w:tcPr>
          <w:p>
            <w:r>
              <w:rPr>
                <w:rFonts w:ascii="SimSun" w:hAnsi="SimSun" w:eastAsia="宋体"/>
                <w:b w:val="0"/>
                <w:sz w:val="18"/>
              </w:rPr>
              <w:t>B侧氨流量</w:t>
            </w:r>
          </w:p>
        </w:tc>
        <w:tc>
          <w:tcPr>
            <w:tcW w:type="dxa" w:w="3312"/>
          </w:tcPr>
          <w:p>
            <w:r>
              <w:rPr>
                <w:rFonts w:ascii="SimSun" w:hAnsi="SimSun" w:eastAsia="宋体"/>
                <w:b w:val="0"/>
                <w:sz w:val="18"/>
              </w:rPr>
              <w:t>59.21 kg/h</w:t>
            </w:r>
          </w:p>
        </w:tc>
        <w:tc>
          <w:tcPr>
            <w:tcW w:type="dxa" w:w="3312"/>
          </w:tcPr>
          <w:p>
            <w:r>
              <w:rPr>
                <w:rFonts w:ascii="SimSun" w:hAnsi="SimSun" w:eastAsia="宋体"/>
                <w:b w:val="0"/>
                <w:sz w:val="18"/>
              </w:rPr>
              <w:t>47.37 kg/h</w:t>
            </w:r>
          </w:p>
        </w:tc>
      </w:tr>
      <w:tr>
        <w:tc>
          <w:tcPr>
            <w:tcW w:type="dxa" w:w="3312"/>
          </w:tcPr>
          <w:p>
            <w:r>
              <w:rPr>
                <w:rFonts w:ascii="SimSun" w:hAnsi="SimSun" w:eastAsia="宋体"/>
                <w:b w:val="0"/>
                <w:sz w:val="18"/>
              </w:rPr>
              <w:t>预测尾部 NOx</w:t>
            </w:r>
          </w:p>
        </w:tc>
        <w:tc>
          <w:tcPr>
            <w:tcW w:type="dxa" w:w="3312"/>
          </w:tcPr>
          <w:p>
            <w:r>
              <w:rPr>
                <w:rFonts w:ascii="SimSun" w:hAnsi="SimSun" w:eastAsia="宋体"/>
                <w:b w:val="0"/>
                <w:sz w:val="18"/>
              </w:rPr>
              <w:t>41.43 mg/Nm³</w:t>
            </w:r>
          </w:p>
        </w:tc>
        <w:tc>
          <w:tcPr>
            <w:tcW w:type="dxa" w:w="3312"/>
          </w:tcPr>
          <w:p>
            <w:r>
              <w:rPr>
                <w:rFonts w:ascii="SimSun" w:hAnsi="SimSun" w:eastAsia="宋体"/>
                <w:b w:val="0"/>
                <w:sz w:val="18"/>
              </w:rPr>
              <w:t>41.43 mg/Nm³</w:t>
            </w:r>
          </w:p>
        </w:tc>
      </w:tr>
      <w:tr>
        <w:tc>
          <w:tcPr>
            <w:tcW w:type="dxa" w:w="3312"/>
          </w:tcPr>
          <w:p>
            <w:r>
              <w:rPr>
                <w:rFonts w:ascii="SimSun" w:hAnsi="SimSun" w:eastAsia="宋体"/>
                <w:b w:val="0"/>
                <w:sz w:val="18"/>
              </w:rPr>
              <w:t>设定值</w:t>
            </w:r>
          </w:p>
        </w:tc>
        <w:tc>
          <w:tcPr>
            <w:tcW w:type="dxa" w:w="3312"/>
          </w:tcPr>
          <w:p>
            <w:r>
              <w:rPr>
                <w:rFonts w:ascii="SimSun" w:hAnsi="SimSun" w:eastAsia="宋体"/>
                <w:b w:val="0"/>
                <w:sz w:val="18"/>
              </w:rPr>
              <w:t>42.00 mg/Nm³</w:t>
            </w:r>
          </w:p>
        </w:tc>
        <w:tc>
          <w:tcPr>
            <w:tcW w:type="dxa" w:w="3312"/>
          </w:tcPr>
          <w:p>
            <w:r>
              <w:rPr>
                <w:rFonts w:ascii="SimSun" w:hAnsi="SimSun" w:eastAsia="宋体"/>
                <w:b w:val="0"/>
                <w:sz w:val="18"/>
              </w:rPr>
              <w:t>42.00 mg/Nm³</w:t>
            </w:r>
          </w:p>
        </w:tc>
      </w:tr>
    </w:tbl>
    <w:p>
      <w:pPr>
        <w:spacing w:line="324" w:lineRule="auto" w:after="120"/>
      </w:pPr>
      <w:r>
        <w:rPr>
          <w:rFonts w:ascii="SimSun" w:hAnsi="SimSun" w:eastAsia="宋体"/>
          <w:b w:val="0"/>
          <w:sz w:val="21"/>
        </w:rPr>
        <w:t>上述结果是基于历史数据模型的离线建议，不能直接作为现场控制指令。实际闭环实施应增加氨逃逸约束、阀门变化率、最小稳定喷氨量、催化剂活性修正、测量延迟和联锁状态，并在 Simulink 或实时仿真环境中完成抗扰和阶跃测试。</w:t>
      </w:r>
    </w:p>
    <w:p>
      <w:pPr>
        <w:pStyle w:val="Heading1"/>
      </w:pPr>
      <w:r>
        <w:rPr>
          <w:rFonts w:ascii="SimSun" w:hAnsi="SimSun" w:eastAsia="宋体"/>
          <w:b/>
          <w:color w:val="1F4E79"/>
          <w:sz w:val="28"/>
        </w:rPr>
        <w:t>7 DeepSeek API 与网页系统</w:t>
      </w:r>
    </w:p>
    <w:p>
      <w:pPr>
        <w:spacing w:line="324" w:lineRule="auto" w:after="120"/>
      </w:pPr>
      <w:r>
        <w:rPr>
          <w:rFonts w:ascii="SimSun" w:hAnsi="SimSun" w:eastAsia="宋体"/>
          <w:b w:val="0"/>
          <w:sz w:val="21"/>
        </w:rPr>
        <w:t>DeepSeek API 仅用于根据统计摘要、指标、变量重要性和控制推荐生成可读解释、异常工况说明和研究报告文字。原始逐秒数据清洗、特征计算、模型训练、指标评价和控制搜索全部由本地 Python 完成。API 密钥仅保存在后端环境变量 DEEPSEEK_API_KEY 中，网页前端不接触密钥。</w:t>
      </w:r>
    </w:p>
    <w:p>
      <w:pPr>
        <w:spacing w:line="324" w:lineRule="auto" w:after="120"/>
      </w:pPr>
      <w:r>
        <w:rPr>
          <w:rFonts w:ascii="SimSun" w:hAnsi="SimSun" w:eastAsia="宋体"/>
          <w:b w:val="0"/>
          <w:sz w:val="21"/>
        </w:rPr>
        <w:t>网页系统使用 FastAPI 提供 /api/summary、/api/predict、/api/control 和 /api/deepseek 接口，前端展示 NOx 趋势、A/B 侧过程量、测试集预测、变量重要性、控制推荐和自然语言分析。</w:t>
      </w:r>
    </w:p>
    <w:p>
      <w:pPr>
        <w:pStyle w:val="Heading1"/>
      </w:pPr>
      <w:r>
        <w:rPr>
          <w:rFonts w:ascii="SimSun" w:hAnsi="SimSun" w:eastAsia="宋体"/>
          <w:b/>
          <w:color w:val="1F4E79"/>
          <w:sz w:val="28"/>
        </w:rPr>
        <w:t>8 结论与后续工作</w:t>
      </w:r>
    </w:p>
    <w:p>
      <w:pPr>
        <w:spacing w:line="324" w:lineRule="auto" w:after="120"/>
      </w:pPr>
      <w:r>
        <w:rPr>
          <w:rFonts w:ascii="SimSun" w:hAnsi="SimSun" w:eastAsia="宋体"/>
          <w:b w:val="0"/>
          <w:sz w:val="21"/>
        </w:rPr>
        <w:t>本设计完成了任务书要求的数据分析、数据对齐、预处理、传统机器学习、神经网络建模、精度评价、工艺变量分析和控制辅助设计。随机森林对稳定工况尾部 NOx 具有较高预测精度，GRU 提供了独立的时序建模通道，融合结果可作为保守的多模型参考。</w:t>
      </w:r>
    </w:p>
    <w:p>
      <w:pPr>
        <w:spacing w:line="324" w:lineRule="auto" w:after="120"/>
      </w:pPr>
      <w:r>
        <w:rPr>
          <w:rFonts w:ascii="SimSun" w:hAnsi="SimSun" w:eastAsia="宋体"/>
          <w:b w:val="0"/>
          <w:sz w:val="21"/>
        </w:rPr>
        <w:t>数据仍只有单台机组约 30 h 记录，且包含分析仪上限值和启停/切换段。后续应补充多日期、多负荷、多煤种数据以及氨逃逸实测值，并在 Simulink 或实时仿真平台进行闭环控制、扰动恢复和安全边界验证。</w:t>
      </w:r>
    </w:p>
    <w:p>
      <w:pPr>
        <w:pStyle w:val="Heading1"/>
      </w:pPr>
      <w:r>
        <w:rPr>
          <w:rFonts w:ascii="SimSun" w:hAnsi="SimSun" w:eastAsia="宋体"/>
          <w:b/>
          <w:color w:val="1F4E79"/>
          <w:sz w:val="28"/>
        </w:rPr>
        <w:t>参考资料</w:t>
      </w:r>
    </w:p>
    <w:p>
      <w:pPr>
        <w:spacing w:line="324" w:lineRule="auto" w:after="120"/>
      </w:pPr>
      <w:r>
        <w:rPr>
          <w:rFonts w:ascii="SimSun" w:hAnsi="SimSun" w:eastAsia="宋体"/>
          <w:b w:val="0"/>
          <w:sz w:val="21"/>
        </w:rPr>
        <w:t>[1] 2025 任务书：脱硝过程的建模与控制。</w:t>
        <w:br/>
        <w:t>[2] 源数据：靖海电厂 1 号 600 MW 机组脱硝相关数据（0 MW–600 MW）。</w:t>
        <w:br/>
        <w:t>[3] 课程设计中使用的本地数据处理、随机森林、GRU 和 FastAPI 实现。</w:t>
      </w:r>
    </w:p>
    <w:sectPr w:rsidR="00FC693F" w:rsidRPr="0006063C" w:rsidSect="00034616">
      <w:footerReference w:type="default" r:id="rId11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宋体"/>
        <w:b w:val="0"/>
        <w:color w:val="787878"/>
        <w:sz w:val="18"/>
      </w:rPr>
      <w:t>SCR 脱硝数据驱动建模与控制课程设计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