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7AE" w:rsidRDefault="008D6578" w:rsidP="008D6578">
      <w:pPr>
        <w:jc w:val="center"/>
        <w:rPr>
          <w:rFonts w:ascii="Arial" w:hAnsi="Arial" w:cs="Arial"/>
          <w:sz w:val="32"/>
          <w:szCs w:val="32"/>
        </w:rPr>
      </w:pPr>
      <w:r w:rsidRPr="002C7126">
        <w:rPr>
          <w:rFonts w:ascii="Arial" w:hAnsi="Arial" w:cs="Arial"/>
          <w:sz w:val="32"/>
          <w:szCs w:val="32"/>
        </w:rPr>
        <w:t>Como a ciência se transforma em tecnologia no Brasil por meio da Análise de indicadores de Patentes</w:t>
      </w:r>
    </w:p>
    <w:p w:rsidR="009C4009" w:rsidRPr="002C7126" w:rsidRDefault="009C4009" w:rsidP="008D6578">
      <w:pPr>
        <w:jc w:val="center"/>
        <w:rPr>
          <w:rFonts w:ascii="Arial" w:hAnsi="Arial" w:cs="Arial"/>
          <w:sz w:val="32"/>
          <w:szCs w:val="32"/>
        </w:rPr>
      </w:pPr>
    </w:p>
    <w:p w:rsidR="003E6AE0" w:rsidRDefault="003E6AE0" w:rsidP="003E6AE0">
      <w:pPr>
        <w:rPr>
          <w:rFonts w:ascii="Arial" w:hAnsi="Arial" w:cs="Arial"/>
          <w:sz w:val="32"/>
          <w:szCs w:val="32"/>
        </w:rPr>
      </w:pPr>
      <w:r w:rsidRPr="002C7126">
        <w:rPr>
          <w:rFonts w:ascii="Arial" w:hAnsi="Arial" w:cs="Arial"/>
          <w:sz w:val="32"/>
          <w:szCs w:val="32"/>
        </w:rPr>
        <w:t>Resumo</w:t>
      </w:r>
    </w:p>
    <w:p w:rsidR="009C4009" w:rsidRDefault="009C4009" w:rsidP="003E6AE0">
      <w:pPr>
        <w:rPr>
          <w:rFonts w:ascii="Arial" w:hAnsi="Arial" w:cs="Arial"/>
          <w:sz w:val="32"/>
          <w:szCs w:val="32"/>
        </w:rPr>
      </w:pPr>
    </w:p>
    <w:p w:rsidR="009C4009" w:rsidRPr="002C7126" w:rsidRDefault="009C4009" w:rsidP="003E6AE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Abstract</w:t>
      </w:r>
    </w:p>
    <w:p w:rsidR="003E6AE0" w:rsidRPr="002C7126" w:rsidRDefault="003E6AE0" w:rsidP="003E6AE0">
      <w:pPr>
        <w:rPr>
          <w:rFonts w:ascii="Arial" w:hAnsi="Arial" w:cs="Arial"/>
          <w:sz w:val="32"/>
          <w:szCs w:val="32"/>
        </w:rPr>
      </w:pPr>
    </w:p>
    <w:p w:rsidR="008D6578" w:rsidRPr="002C7126" w:rsidRDefault="008D6578">
      <w:pPr>
        <w:rPr>
          <w:rFonts w:ascii="Arial" w:hAnsi="Arial" w:cs="Arial"/>
          <w:sz w:val="28"/>
          <w:szCs w:val="28"/>
        </w:rPr>
      </w:pPr>
      <w:r w:rsidRPr="002C7126">
        <w:rPr>
          <w:rFonts w:ascii="Arial" w:hAnsi="Arial" w:cs="Arial"/>
          <w:sz w:val="28"/>
          <w:szCs w:val="28"/>
        </w:rPr>
        <w:t>Introdução</w:t>
      </w:r>
    </w:p>
    <w:p w:rsidR="008D6578" w:rsidRPr="002C7126" w:rsidRDefault="008D6578" w:rsidP="002C71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126">
        <w:rPr>
          <w:rFonts w:ascii="Arial" w:hAnsi="Arial" w:cs="Arial"/>
          <w:sz w:val="24"/>
          <w:szCs w:val="24"/>
        </w:rPr>
        <w:t xml:space="preserve">Este presente trabalho tem por objetivo avaliar quais áreas da ciência são mais relevantes na transição </w:t>
      </w:r>
      <w:r w:rsidR="00B9024B">
        <w:rPr>
          <w:rFonts w:ascii="Arial" w:hAnsi="Arial" w:cs="Arial"/>
          <w:sz w:val="24"/>
          <w:szCs w:val="24"/>
        </w:rPr>
        <w:t>tecnoló</w:t>
      </w:r>
      <w:r w:rsidRPr="002C7126">
        <w:rPr>
          <w:rFonts w:ascii="Arial" w:hAnsi="Arial" w:cs="Arial"/>
          <w:sz w:val="24"/>
          <w:szCs w:val="24"/>
        </w:rPr>
        <w:t>gica no Brasil.</w:t>
      </w:r>
      <w:r w:rsidR="004B61E0" w:rsidRPr="002C7126">
        <w:rPr>
          <w:rFonts w:ascii="Arial" w:hAnsi="Arial" w:cs="Arial"/>
          <w:sz w:val="24"/>
          <w:szCs w:val="24"/>
        </w:rPr>
        <w:t xml:space="preserve"> </w:t>
      </w:r>
      <w:r w:rsidRPr="002C7126">
        <w:rPr>
          <w:rFonts w:ascii="Arial" w:hAnsi="Arial" w:cs="Arial"/>
          <w:sz w:val="24"/>
          <w:szCs w:val="24"/>
        </w:rPr>
        <w:t xml:space="preserve">Esta análise está inclusa no escopo de análise bibliométrica de patentes e </w:t>
      </w:r>
      <w:r w:rsidR="002C7126">
        <w:rPr>
          <w:rFonts w:ascii="Arial" w:hAnsi="Arial" w:cs="Arial"/>
          <w:sz w:val="24"/>
          <w:szCs w:val="24"/>
        </w:rPr>
        <w:t>‘</w:t>
      </w:r>
      <w:r w:rsidRPr="002C7126">
        <w:rPr>
          <w:rFonts w:ascii="Arial" w:hAnsi="Arial" w:cs="Arial"/>
          <w:i/>
          <w:sz w:val="24"/>
          <w:szCs w:val="24"/>
        </w:rPr>
        <w:t>tech mining</w:t>
      </w:r>
      <w:r w:rsidR="002C7126">
        <w:rPr>
          <w:rFonts w:ascii="Arial" w:hAnsi="Arial" w:cs="Arial"/>
          <w:i/>
          <w:sz w:val="24"/>
          <w:szCs w:val="24"/>
        </w:rPr>
        <w:t>’</w:t>
      </w:r>
      <w:r w:rsidRPr="002C7126">
        <w:rPr>
          <w:rFonts w:ascii="Arial" w:hAnsi="Arial" w:cs="Arial"/>
          <w:sz w:val="24"/>
          <w:szCs w:val="24"/>
        </w:rPr>
        <w:t xml:space="preserve">, área </w:t>
      </w:r>
      <w:r w:rsidR="004B61E0" w:rsidRPr="002C7126">
        <w:rPr>
          <w:rFonts w:ascii="Arial" w:hAnsi="Arial" w:cs="Arial"/>
          <w:sz w:val="24"/>
          <w:szCs w:val="24"/>
        </w:rPr>
        <w:t xml:space="preserve">que está progressivamente evoluindo no cenário de </w:t>
      </w:r>
      <w:r w:rsidR="004B61E0" w:rsidRPr="002C7126">
        <w:rPr>
          <w:rFonts w:ascii="Arial" w:hAnsi="Arial" w:cs="Arial"/>
          <w:i/>
          <w:sz w:val="24"/>
          <w:szCs w:val="24"/>
        </w:rPr>
        <w:t>text mining</w:t>
      </w:r>
      <w:r w:rsidR="004B61E0" w:rsidRPr="002C7126">
        <w:rPr>
          <w:rFonts w:ascii="Arial" w:hAnsi="Arial" w:cs="Arial"/>
          <w:sz w:val="24"/>
          <w:szCs w:val="24"/>
        </w:rPr>
        <w:t xml:space="preserve"> nas últimas décadas (Madani, 2015).</w:t>
      </w:r>
    </w:p>
    <w:p w:rsidR="00433A24" w:rsidRPr="002C7126" w:rsidRDefault="00433A24" w:rsidP="002C71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126">
        <w:rPr>
          <w:rFonts w:ascii="Arial" w:hAnsi="Arial" w:cs="Arial"/>
          <w:sz w:val="24"/>
          <w:szCs w:val="24"/>
        </w:rPr>
        <w:t>A partir da análise e do mapeamento da conversão da ciência em tecnologia, é possível, por exemplo, a setores estratégicos de companhias avaliar quais são os caminhos e embasamento teórico</w:t>
      </w:r>
      <w:r w:rsidR="00B9024B">
        <w:rPr>
          <w:rFonts w:ascii="Arial" w:hAnsi="Arial" w:cs="Arial"/>
          <w:sz w:val="24"/>
          <w:szCs w:val="24"/>
        </w:rPr>
        <w:t xml:space="preserve"> científico</w:t>
      </w:r>
      <w:r w:rsidRPr="002C7126">
        <w:rPr>
          <w:rFonts w:ascii="Arial" w:hAnsi="Arial" w:cs="Arial"/>
          <w:sz w:val="24"/>
          <w:szCs w:val="24"/>
        </w:rPr>
        <w:t xml:space="preserve"> necessários para o desenvolvimento de determinado produto ou invento tecnológico (Madani; Weber, 2016)</w:t>
      </w:r>
      <w:r w:rsidR="003E6AE0" w:rsidRPr="002C7126">
        <w:rPr>
          <w:rFonts w:ascii="Arial" w:hAnsi="Arial" w:cs="Arial"/>
          <w:sz w:val="24"/>
          <w:szCs w:val="24"/>
        </w:rPr>
        <w:t xml:space="preserve"> ou, em </w:t>
      </w:r>
      <w:r w:rsidRPr="002C7126">
        <w:rPr>
          <w:rFonts w:ascii="Arial" w:hAnsi="Arial" w:cs="Arial"/>
          <w:sz w:val="24"/>
          <w:szCs w:val="24"/>
        </w:rPr>
        <w:t>âmbito macro-econô</w:t>
      </w:r>
      <w:r w:rsidR="003E6AE0" w:rsidRPr="002C7126">
        <w:rPr>
          <w:rFonts w:ascii="Arial" w:hAnsi="Arial" w:cs="Arial"/>
          <w:sz w:val="24"/>
          <w:szCs w:val="24"/>
        </w:rPr>
        <w:t>mico</w:t>
      </w:r>
      <w:r w:rsidRPr="002C7126">
        <w:rPr>
          <w:rFonts w:ascii="Arial" w:hAnsi="Arial" w:cs="Arial"/>
          <w:sz w:val="24"/>
          <w:szCs w:val="24"/>
        </w:rPr>
        <w:t xml:space="preserve">, </w:t>
      </w:r>
      <w:r w:rsidR="003E6AE0" w:rsidRPr="002C7126">
        <w:rPr>
          <w:rFonts w:ascii="Arial" w:hAnsi="Arial" w:cs="Arial"/>
          <w:sz w:val="24"/>
          <w:szCs w:val="24"/>
        </w:rPr>
        <w:t xml:space="preserve">estimar o perfil futuro da ciência e da tecnologia no país com base na evolução consequente de áreas correlatas (Lahm, 2018). </w:t>
      </w:r>
    </w:p>
    <w:p w:rsidR="00E5271A" w:rsidRPr="002C7126" w:rsidRDefault="003E6AE0" w:rsidP="002C71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126">
        <w:rPr>
          <w:rFonts w:ascii="Arial" w:hAnsi="Arial" w:cs="Arial"/>
          <w:sz w:val="24"/>
          <w:szCs w:val="24"/>
        </w:rPr>
        <w:t>Os indicadores</w:t>
      </w:r>
      <w:r w:rsidR="00433A24" w:rsidRPr="002C7126">
        <w:rPr>
          <w:rFonts w:ascii="Arial" w:hAnsi="Arial" w:cs="Arial"/>
          <w:sz w:val="24"/>
          <w:szCs w:val="24"/>
        </w:rPr>
        <w:t xml:space="preserve"> p</w:t>
      </w:r>
      <w:r w:rsidRPr="002C7126">
        <w:rPr>
          <w:rFonts w:ascii="Arial" w:hAnsi="Arial" w:cs="Arial"/>
          <w:sz w:val="24"/>
          <w:szCs w:val="24"/>
        </w:rPr>
        <w:t>ara avaliação da</w:t>
      </w:r>
      <w:r w:rsidR="00433A24" w:rsidRPr="002C7126">
        <w:rPr>
          <w:rFonts w:ascii="Arial" w:hAnsi="Arial" w:cs="Arial"/>
          <w:sz w:val="24"/>
          <w:szCs w:val="24"/>
        </w:rPr>
        <w:t xml:space="preserve"> transição entre ciência e tecnologia</w:t>
      </w:r>
      <w:r w:rsidRPr="002C7126">
        <w:rPr>
          <w:rFonts w:ascii="Arial" w:hAnsi="Arial" w:cs="Arial"/>
          <w:sz w:val="24"/>
          <w:szCs w:val="24"/>
        </w:rPr>
        <w:t xml:space="preserve"> neste estudo consistem na análise da citação reversa de determinado</w:t>
      </w:r>
      <w:r w:rsidR="00433A24" w:rsidRPr="002C7126">
        <w:rPr>
          <w:rFonts w:ascii="Arial" w:hAnsi="Arial" w:cs="Arial"/>
          <w:sz w:val="24"/>
          <w:szCs w:val="24"/>
        </w:rPr>
        <w:t xml:space="preserve"> invento ou metodologia</w:t>
      </w:r>
      <w:r w:rsidRPr="002C7126">
        <w:rPr>
          <w:rFonts w:ascii="Arial" w:hAnsi="Arial" w:cs="Arial"/>
          <w:sz w:val="24"/>
          <w:szCs w:val="24"/>
        </w:rPr>
        <w:t xml:space="preserve">, </w:t>
      </w:r>
      <w:r w:rsidR="00481A10" w:rsidRPr="002C7126">
        <w:rPr>
          <w:rFonts w:ascii="Arial" w:hAnsi="Arial" w:cs="Arial"/>
          <w:sz w:val="24"/>
          <w:szCs w:val="24"/>
        </w:rPr>
        <w:t>quando um documento de patente cita determinado artigo científico de área previamente estabelecida (Glanzel; Meyer,</w:t>
      </w:r>
      <w:r w:rsidR="00C560DE">
        <w:rPr>
          <w:rFonts w:ascii="Arial" w:hAnsi="Arial" w:cs="Arial"/>
          <w:sz w:val="24"/>
          <w:szCs w:val="24"/>
        </w:rPr>
        <w:t xml:space="preserve"> </w:t>
      </w:r>
      <w:r w:rsidR="00481A10" w:rsidRPr="002C7126">
        <w:rPr>
          <w:rFonts w:ascii="Arial" w:hAnsi="Arial" w:cs="Arial"/>
          <w:sz w:val="24"/>
          <w:szCs w:val="24"/>
        </w:rPr>
        <w:t>2003). Portanto, para esse estudo, foram necessários o emprego de um conjunto de técnicas de Ciência de Dados para a extração dos documentos de Patentes, como também a categorização automática da área</w:t>
      </w:r>
      <w:r w:rsidR="002F2468" w:rsidRPr="002C7126">
        <w:rPr>
          <w:rFonts w:ascii="Arial" w:hAnsi="Arial" w:cs="Arial"/>
          <w:sz w:val="24"/>
          <w:szCs w:val="24"/>
        </w:rPr>
        <w:t xml:space="preserve"> cientifica</w:t>
      </w:r>
      <w:r w:rsidR="00481A10" w:rsidRPr="002C7126">
        <w:rPr>
          <w:rFonts w:ascii="Arial" w:hAnsi="Arial" w:cs="Arial"/>
          <w:sz w:val="24"/>
          <w:szCs w:val="24"/>
        </w:rPr>
        <w:t xml:space="preserve"> </w:t>
      </w:r>
      <w:r w:rsidR="002F2468" w:rsidRPr="002C7126">
        <w:rPr>
          <w:rFonts w:ascii="Arial" w:hAnsi="Arial" w:cs="Arial"/>
          <w:sz w:val="24"/>
          <w:szCs w:val="24"/>
        </w:rPr>
        <w:t>d</w:t>
      </w:r>
      <w:r w:rsidR="00C560DE">
        <w:rPr>
          <w:rFonts w:ascii="Arial" w:hAnsi="Arial" w:cs="Arial"/>
          <w:sz w:val="24"/>
          <w:szCs w:val="24"/>
        </w:rPr>
        <w:t xml:space="preserve">e um grande volume de dados </w:t>
      </w:r>
      <w:r w:rsidR="00E5271A" w:rsidRPr="002C7126">
        <w:rPr>
          <w:rFonts w:ascii="Arial" w:hAnsi="Arial" w:cs="Arial"/>
          <w:sz w:val="24"/>
          <w:szCs w:val="24"/>
        </w:rPr>
        <w:t xml:space="preserve">de </w:t>
      </w:r>
      <w:r w:rsidR="00C560DE">
        <w:rPr>
          <w:rFonts w:ascii="Arial" w:hAnsi="Arial" w:cs="Arial"/>
          <w:sz w:val="24"/>
          <w:szCs w:val="24"/>
        </w:rPr>
        <w:t>documentos</w:t>
      </w:r>
      <w:r w:rsidR="00E5271A" w:rsidRPr="002C7126">
        <w:rPr>
          <w:rFonts w:ascii="Arial" w:hAnsi="Arial" w:cs="Arial"/>
          <w:sz w:val="24"/>
          <w:szCs w:val="24"/>
        </w:rPr>
        <w:t>.</w:t>
      </w:r>
    </w:p>
    <w:p w:rsidR="002F2468" w:rsidRPr="002C7126" w:rsidRDefault="002F2468" w:rsidP="002C71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126">
        <w:rPr>
          <w:rFonts w:ascii="Arial" w:hAnsi="Arial" w:cs="Arial"/>
          <w:sz w:val="24"/>
          <w:szCs w:val="24"/>
        </w:rPr>
        <w:t xml:space="preserve">A partir da categorização e do mapeamento das áreas da ciência, pretendemos representar os dados obtidos em formato de Ontologias, pois, dessa forma, </w:t>
      </w:r>
      <w:r w:rsidRPr="002C7126">
        <w:rPr>
          <w:rFonts w:ascii="Arial" w:hAnsi="Arial" w:cs="Arial"/>
          <w:sz w:val="24"/>
          <w:szCs w:val="24"/>
        </w:rPr>
        <w:lastRenderedPageBreak/>
        <w:t xml:space="preserve">ampliamos a governança de dados em torno dos dados de patentes, assim como para qualquer outro dado representado em formato de </w:t>
      </w:r>
      <w:r w:rsidRPr="002C7126">
        <w:rPr>
          <w:rFonts w:ascii="Arial" w:hAnsi="Arial" w:cs="Arial"/>
          <w:i/>
          <w:sz w:val="24"/>
          <w:szCs w:val="24"/>
        </w:rPr>
        <w:t>Linked Data</w:t>
      </w:r>
      <w:r w:rsidRPr="002C7126">
        <w:rPr>
          <w:rFonts w:ascii="Arial" w:hAnsi="Arial" w:cs="Arial"/>
          <w:sz w:val="24"/>
          <w:szCs w:val="24"/>
        </w:rPr>
        <w:t xml:space="preserve"> (Gartner, 2019). Também aproveitamos, por meio da representação do conhecimento obtido em vocabulário de ontologias, </w:t>
      </w:r>
      <w:r w:rsidR="00E5271A" w:rsidRPr="002C7126">
        <w:rPr>
          <w:rFonts w:ascii="Arial" w:hAnsi="Arial" w:cs="Arial"/>
          <w:sz w:val="24"/>
          <w:szCs w:val="24"/>
        </w:rPr>
        <w:t xml:space="preserve">OWL e </w:t>
      </w:r>
      <w:r w:rsidRPr="002C7126">
        <w:rPr>
          <w:rFonts w:ascii="Arial" w:hAnsi="Arial" w:cs="Arial"/>
          <w:sz w:val="24"/>
          <w:szCs w:val="24"/>
        </w:rPr>
        <w:t>RDF</w:t>
      </w:r>
      <w:r w:rsidR="00E5271A" w:rsidRPr="002C7126">
        <w:rPr>
          <w:rFonts w:ascii="Arial" w:hAnsi="Arial" w:cs="Arial"/>
          <w:sz w:val="24"/>
          <w:szCs w:val="24"/>
        </w:rPr>
        <w:t>S</w:t>
      </w:r>
      <w:r w:rsidRPr="002C7126">
        <w:rPr>
          <w:rFonts w:ascii="Arial" w:hAnsi="Arial" w:cs="Arial"/>
          <w:sz w:val="24"/>
          <w:szCs w:val="24"/>
        </w:rPr>
        <w:t xml:space="preserve">, </w:t>
      </w:r>
      <w:r w:rsidR="00E5271A" w:rsidRPr="002C7126">
        <w:rPr>
          <w:rFonts w:ascii="Arial" w:hAnsi="Arial" w:cs="Arial"/>
          <w:sz w:val="24"/>
          <w:szCs w:val="24"/>
        </w:rPr>
        <w:t>o emprego de</w:t>
      </w:r>
      <w:r w:rsidRPr="002C7126">
        <w:rPr>
          <w:rFonts w:ascii="Arial" w:hAnsi="Arial" w:cs="Arial"/>
          <w:sz w:val="24"/>
          <w:szCs w:val="24"/>
        </w:rPr>
        <w:t xml:space="preserve"> </w:t>
      </w:r>
      <w:r w:rsidR="00E5271A" w:rsidRPr="002C7126">
        <w:rPr>
          <w:rFonts w:ascii="Arial" w:hAnsi="Arial" w:cs="Arial"/>
          <w:sz w:val="24"/>
          <w:szCs w:val="24"/>
        </w:rPr>
        <w:t xml:space="preserve">técnicas de </w:t>
      </w:r>
      <w:r w:rsidR="00B9024B">
        <w:rPr>
          <w:rFonts w:ascii="Arial" w:hAnsi="Arial" w:cs="Arial"/>
          <w:sz w:val="24"/>
          <w:szCs w:val="24"/>
        </w:rPr>
        <w:t>raciocí</w:t>
      </w:r>
      <w:r w:rsidR="00E5271A" w:rsidRPr="002C7126">
        <w:rPr>
          <w:rFonts w:ascii="Arial" w:hAnsi="Arial" w:cs="Arial"/>
          <w:sz w:val="24"/>
          <w:szCs w:val="24"/>
        </w:rPr>
        <w:t>nio automático para estabelecimento de novos relacionamentos implicitos no nosso conjunto de dados</w:t>
      </w:r>
      <w:r w:rsidR="002C7126" w:rsidRPr="002C7126">
        <w:rPr>
          <w:rFonts w:ascii="Arial" w:hAnsi="Arial" w:cs="Arial"/>
          <w:sz w:val="24"/>
          <w:szCs w:val="24"/>
        </w:rPr>
        <w:t>.</w:t>
      </w:r>
    </w:p>
    <w:p w:rsidR="002F2468" w:rsidRDefault="002C7126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 w:themeFill="background1"/>
        </w:rPr>
      </w:pPr>
      <w:r w:rsidRPr="00FB121B">
        <w:rPr>
          <w:rFonts w:ascii="Arial" w:hAnsi="Arial" w:cs="Arial"/>
          <w:sz w:val="24"/>
          <w:szCs w:val="24"/>
        </w:rPr>
        <w:t>“</w:t>
      </w:r>
      <w:r w:rsidRPr="002C7126">
        <w:rPr>
          <w:rFonts w:ascii="Arial" w:hAnsi="Arial" w:cs="Arial"/>
          <w:color w:val="222222"/>
          <w:sz w:val="24"/>
          <w:szCs w:val="24"/>
          <w:shd w:val="clear" w:color="auto" w:fill="FFFFFF" w:themeFill="background1"/>
          <w:lang w:val="pt-PT"/>
        </w:rPr>
        <w:t>Raciocinadores automatizados podem deduzir (inferir) conclusões do conhecimento fornecido, tornando explícito o conhecimento implícito</w:t>
      </w:r>
      <w:r w:rsidRPr="00FB121B">
        <w:rPr>
          <w:rFonts w:ascii="Arial" w:hAnsi="Arial" w:cs="Arial"/>
          <w:sz w:val="24"/>
          <w:szCs w:val="24"/>
          <w:shd w:val="clear" w:color="auto" w:fill="FFFFFF" w:themeFill="background1"/>
        </w:rPr>
        <w:t>” (Antoniu; Groth; Harmelen; Hoekstra, 2012, p.13)</w:t>
      </w:r>
      <w:r w:rsidR="00FB121B">
        <w:rPr>
          <w:rFonts w:ascii="Arial" w:hAnsi="Arial" w:cs="Arial"/>
          <w:sz w:val="24"/>
          <w:szCs w:val="24"/>
          <w:shd w:val="clear" w:color="auto" w:fill="FFFFFF" w:themeFill="background1"/>
        </w:rPr>
        <w:t>.</w:t>
      </w:r>
    </w:p>
    <w:p w:rsidR="00FB121B" w:rsidRDefault="00FB121B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 w:themeFill="background1"/>
        </w:rPr>
      </w:pPr>
      <w:r>
        <w:rPr>
          <w:rFonts w:ascii="Arial" w:hAnsi="Arial" w:cs="Arial"/>
          <w:sz w:val="24"/>
          <w:szCs w:val="24"/>
          <w:shd w:val="clear" w:color="auto" w:fill="FFFFFF" w:themeFill="background1"/>
        </w:rPr>
        <w:t>Dessa forma, promovemos o trabalho colabarativo em ciência de dados e patentes, pois tornamos mais simples o acesso a informação e ao conhecimento de Patentes, exigindo somente o conhecimento dos termos do vocabulário ontológico de patentes para se ter acesso aos dados.</w:t>
      </w:r>
    </w:p>
    <w:p w:rsidR="00FB121B" w:rsidRDefault="00FB121B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 w:themeFill="background1"/>
        </w:rPr>
      </w:pPr>
    </w:p>
    <w:p w:rsidR="00C560DE" w:rsidRDefault="00C560DE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8"/>
          <w:szCs w:val="28"/>
          <w:shd w:val="clear" w:color="auto" w:fill="FFFFFF" w:themeFill="background1"/>
        </w:rPr>
      </w:pPr>
      <w:r w:rsidRPr="00C560DE">
        <w:rPr>
          <w:rFonts w:ascii="Arial" w:hAnsi="Arial" w:cs="Arial"/>
          <w:sz w:val="28"/>
          <w:szCs w:val="28"/>
          <w:shd w:val="clear" w:color="auto" w:fill="FFFFFF" w:themeFill="background1"/>
        </w:rPr>
        <w:t>Metodologia</w:t>
      </w:r>
    </w:p>
    <w:p w:rsidR="0098582C" w:rsidRDefault="0098582C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8"/>
          <w:szCs w:val="28"/>
          <w:shd w:val="clear" w:color="auto" w:fill="FFFFFF" w:themeFill="background1"/>
        </w:rPr>
      </w:pPr>
      <w:r>
        <w:rPr>
          <w:rFonts w:ascii="Arial" w:hAnsi="Arial" w:cs="Arial"/>
          <w:sz w:val="28"/>
          <w:szCs w:val="28"/>
          <w:shd w:val="clear" w:color="auto" w:fill="FFFFFF" w:themeFill="background1"/>
        </w:rPr>
        <w:tab/>
        <w:t>Métodos de Categorização de área científica</w:t>
      </w:r>
    </w:p>
    <w:p w:rsidR="00C560DE" w:rsidRDefault="00F33D22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A classificação dos domínios de áreas </w:t>
      </w:r>
      <w:r w:rsidR="00631F88">
        <w:rPr>
          <w:rFonts w:ascii="Arial" w:hAnsi="Arial" w:cs="Arial"/>
          <w:color w:val="222222"/>
          <w:sz w:val="24"/>
          <w:szCs w:val="24"/>
        </w:rPr>
        <w:t xml:space="preserve">cientifica de patentes </w:t>
      </w:r>
      <w:r>
        <w:rPr>
          <w:rFonts w:ascii="Arial" w:hAnsi="Arial" w:cs="Arial"/>
          <w:color w:val="222222"/>
          <w:sz w:val="24"/>
          <w:szCs w:val="24"/>
        </w:rPr>
        <w:t>obedece a classificação proposta</w:t>
      </w:r>
      <w:r w:rsidR="00631F88">
        <w:rPr>
          <w:rFonts w:ascii="Arial" w:hAnsi="Arial" w:cs="Arial"/>
          <w:color w:val="222222"/>
          <w:sz w:val="24"/>
          <w:szCs w:val="24"/>
        </w:rPr>
        <w:t xml:space="preserve"> pela empresa de avaliação científica</w:t>
      </w:r>
      <w:r>
        <w:rPr>
          <w:rFonts w:ascii="Arial" w:hAnsi="Arial" w:cs="Arial"/>
          <w:color w:val="222222"/>
          <w:sz w:val="24"/>
          <w:szCs w:val="24"/>
        </w:rPr>
        <w:t xml:space="preserve"> science-metrix, das quais estão presentes as seguintes áreas</w:t>
      </w:r>
      <w:r w:rsidR="00631F88">
        <w:rPr>
          <w:rFonts w:ascii="Arial" w:hAnsi="Arial" w:cs="Arial"/>
          <w:color w:val="222222"/>
          <w:sz w:val="24"/>
          <w:szCs w:val="24"/>
        </w:rPr>
        <w:t>:</w:t>
      </w:r>
    </w:p>
    <w:tbl>
      <w:tblPr>
        <w:tblW w:w="4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160"/>
      </w:tblGrid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Área da Ciência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Agriculture, Fisheries &amp; Forestry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Built Environment &amp; Design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Enabling &amp; Strategic Technologies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Engineering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Information &amp; Communication Technologies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Communication &amp; Textual Studies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Historical Studies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Philosophy &amp; Theology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Visual &amp; Performing Arts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Economics &amp; Business 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Social Sciences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val="en-US" w:eastAsia="pt-BR"/>
              </w:rPr>
              <w:t>General Arts, Humanities &amp; Social Sciences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General Science &amp; Technology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Biomedical Research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Clinical Medicine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Psychology &amp; Cognitive Sciences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Public Health &amp; Health Services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Biology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Chemistry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Earth &amp; Environmental Sciences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Mathematics &amp; Statistics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Physics &amp; Astronomy</w:t>
            </w:r>
          </w:p>
        </w:tc>
        <w:tc>
          <w:tcPr>
            <w:tcW w:w="160" w:type="dxa"/>
            <w:tcBorders>
              <w:top w:val="single" w:sz="4" w:space="0" w:color="999999"/>
              <w:left w:val="single" w:sz="4" w:space="0" w:color="999999"/>
              <w:bottom w:val="nil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31F88" w:rsidRPr="00F33D22" w:rsidTr="00631F88">
        <w:trPr>
          <w:trHeight w:val="300"/>
          <w:jc w:val="center"/>
        </w:trPr>
        <w:tc>
          <w:tcPr>
            <w:tcW w:w="4300" w:type="dxa"/>
            <w:tcBorders>
              <w:top w:val="single" w:sz="4" w:space="0" w:color="FFFFFF"/>
              <w:left w:val="single" w:sz="4" w:space="0" w:color="999999"/>
              <w:bottom w:val="single" w:sz="4" w:space="0" w:color="999999"/>
              <w:right w:val="nil"/>
            </w:tcBorders>
            <w:shd w:val="clear" w:color="auto" w:fill="auto"/>
            <w:noWrap/>
            <w:vAlign w:val="bottom"/>
            <w:hideMark/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33D22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60" w:type="dxa"/>
            <w:tcBorders>
              <w:top w:val="single" w:sz="4" w:space="0" w:color="FFFFFF"/>
              <w:left w:val="single" w:sz="4" w:space="0" w:color="999999"/>
              <w:bottom w:val="single" w:sz="4" w:space="0" w:color="999999"/>
              <w:right w:val="nil"/>
            </w:tcBorders>
          </w:tcPr>
          <w:p w:rsidR="00631F88" w:rsidRPr="00F33D22" w:rsidRDefault="00631F88" w:rsidP="00F33D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F33D22" w:rsidRDefault="00631F88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</w:rPr>
        <w:tab/>
      </w:r>
      <w:r>
        <w:rPr>
          <w:rFonts w:ascii="Arial" w:hAnsi="Arial" w:cs="Arial"/>
          <w:color w:val="222222"/>
        </w:rPr>
        <w:t>Fonte:Science-Metrix</w:t>
      </w:r>
    </w:p>
    <w:p w:rsidR="0098582C" w:rsidRDefault="0098582C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Para realizar a classificação da área científica de uma patente utilizamos duas vias:</w:t>
      </w:r>
    </w:p>
    <w:p w:rsidR="0098582C" w:rsidRDefault="0098582C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</w:p>
    <w:p w:rsidR="0098582C" w:rsidRDefault="0098582C" w:rsidP="0098582C">
      <w:pPr>
        <w:pStyle w:val="HTMLPreformatted"/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Análise de Citação Reversa</w:t>
      </w:r>
    </w:p>
    <w:p w:rsidR="00631F88" w:rsidRDefault="00631F88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 w:rsidRPr="00631F88">
        <w:rPr>
          <w:rFonts w:ascii="Arial" w:hAnsi="Arial" w:cs="Arial"/>
          <w:color w:val="222222"/>
          <w:sz w:val="24"/>
          <w:szCs w:val="24"/>
        </w:rPr>
        <w:t>A classificação</w:t>
      </w:r>
      <w:r>
        <w:rPr>
          <w:rFonts w:ascii="Arial" w:hAnsi="Arial" w:cs="Arial"/>
          <w:color w:val="222222"/>
          <w:sz w:val="24"/>
          <w:szCs w:val="24"/>
        </w:rPr>
        <w:t xml:space="preserve"> categoriza cerca de 15000 revistas ciéntificas de acordo com a área mais relevante em suas publicações.</w:t>
      </w:r>
    </w:p>
    <w:p w:rsidR="00631F88" w:rsidRPr="0098582C" w:rsidRDefault="00631F88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A categorização de </w:t>
      </w:r>
      <w:r w:rsidRPr="00631F88">
        <w:rPr>
          <w:rFonts w:ascii="Arial" w:hAnsi="Arial" w:cs="Arial"/>
          <w:i/>
          <w:color w:val="222222"/>
          <w:sz w:val="24"/>
          <w:szCs w:val="24"/>
        </w:rPr>
        <w:t>Journal</w:t>
      </w:r>
      <w:r>
        <w:rPr>
          <w:rFonts w:ascii="Arial" w:hAnsi="Arial" w:cs="Arial"/>
          <w:i/>
          <w:color w:val="222222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24"/>
          <w:szCs w:val="24"/>
        </w:rPr>
        <w:t>ou revista científica, para nosso proposito, serve como recurso para a aplicação da técnica de avaliação de citação reversa, pois os documentos de patentes, em</w:t>
      </w:r>
      <w:r w:rsidR="0098582C">
        <w:rPr>
          <w:rFonts w:ascii="Arial" w:hAnsi="Arial" w:cs="Arial"/>
          <w:color w:val="222222"/>
          <w:sz w:val="24"/>
          <w:szCs w:val="24"/>
        </w:rPr>
        <w:t xml:space="preserve"> seu corpo, podem apresentar citações a artigos científicos publicados nesses Journals. A partir de um casamento de uma citação de uma patentes com um Journal, atribuímos a correspondente área científica do </w:t>
      </w:r>
      <w:r w:rsidR="0098582C" w:rsidRPr="0098582C">
        <w:rPr>
          <w:rFonts w:ascii="Arial" w:hAnsi="Arial" w:cs="Arial"/>
          <w:i/>
          <w:color w:val="222222"/>
          <w:sz w:val="24"/>
          <w:szCs w:val="24"/>
        </w:rPr>
        <w:t>Journal</w:t>
      </w:r>
      <w:r w:rsidR="0098582C">
        <w:rPr>
          <w:rFonts w:ascii="Arial" w:hAnsi="Arial" w:cs="Arial"/>
          <w:i/>
          <w:color w:val="222222"/>
          <w:sz w:val="24"/>
          <w:szCs w:val="24"/>
        </w:rPr>
        <w:t xml:space="preserve"> </w:t>
      </w:r>
      <w:r w:rsidR="0098582C">
        <w:rPr>
          <w:rFonts w:ascii="Arial" w:hAnsi="Arial" w:cs="Arial"/>
          <w:color w:val="222222"/>
          <w:sz w:val="24"/>
          <w:szCs w:val="24"/>
        </w:rPr>
        <w:t>à patente.</w:t>
      </w:r>
    </w:p>
    <w:p w:rsidR="0098582C" w:rsidRDefault="0098582C" w:rsidP="00FB121B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</w:p>
    <w:p w:rsidR="0098582C" w:rsidRDefault="0098582C" w:rsidP="0098582C">
      <w:pPr>
        <w:pStyle w:val="HTMLPreformatted"/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Atribuição de Área Científica por meio de </w:t>
      </w:r>
      <w:r w:rsidR="003636A7">
        <w:rPr>
          <w:rFonts w:ascii="Arial" w:hAnsi="Arial" w:cs="Arial"/>
          <w:color w:val="222222"/>
          <w:sz w:val="24"/>
          <w:szCs w:val="24"/>
        </w:rPr>
        <w:t>identificação de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r w:rsidR="003636A7">
        <w:rPr>
          <w:rFonts w:ascii="Arial" w:hAnsi="Arial" w:cs="Arial"/>
          <w:color w:val="222222"/>
          <w:sz w:val="24"/>
          <w:szCs w:val="24"/>
        </w:rPr>
        <w:t>termos exclusivos do domínio t</w:t>
      </w:r>
      <w:r>
        <w:rPr>
          <w:rFonts w:ascii="Arial" w:hAnsi="Arial" w:cs="Arial"/>
          <w:color w:val="222222"/>
          <w:sz w:val="24"/>
          <w:szCs w:val="24"/>
        </w:rPr>
        <w:t>extual</w:t>
      </w:r>
    </w:p>
    <w:p w:rsidR="003636A7" w:rsidRDefault="003636A7" w:rsidP="003636A7">
      <w:pPr>
        <w:pStyle w:val="HTMLPreformatted"/>
        <w:shd w:val="clear" w:color="auto" w:fill="FFFFFF" w:themeFill="background1"/>
        <w:spacing w:line="360" w:lineRule="auto"/>
        <w:ind w:left="720"/>
        <w:jc w:val="both"/>
        <w:rPr>
          <w:rFonts w:ascii="Arial" w:hAnsi="Arial" w:cs="Arial"/>
          <w:color w:val="222222"/>
          <w:sz w:val="24"/>
          <w:szCs w:val="24"/>
        </w:rPr>
      </w:pPr>
    </w:p>
    <w:p w:rsidR="0098582C" w:rsidRDefault="0098582C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Conforme proposto por Custódio (2019, p.46) os diferentes </w:t>
      </w:r>
      <w:r w:rsidR="003636A7">
        <w:rPr>
          <w:rFonts w:ascii="Arial" w:hAnsi="Arial" w:cs="Arial"/>
          <w:color w:val="222222"/>
          <w:sz w:val="24"/>
          <w:szCs w:val="24"/>
        </w:rPr>
        <w:t>textos apresentam em comum termos referentes a um domínio textual, e esses vocabulários, quando exclusivos de determinado domínio, apresentam cárater discriminante da área científica se identificados em determinado texto.</w:t>
      </w:r>
    </w:p>
    <w:p w:rsidR="003636A7" w:rsidRDefault="003636A7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Portanto, com base na análise de um modelo supervisionado de </w:t>
      </w:r>
      <w:r w:rsidR="00937239">
        <w:rPr>
          <w:rFonts w:ascii="Arial" w:hAnsi="Arial" w:cs="Arial"/>
          <w:color w:val="222222"/>
          <w:sz w:val="24"/>
          <w:szCs w:val="24"/>
        </w:rPr>
        <w:t>B</w:t>
      </w:r>
      <w:r>
        <w:rPr>
          <w:rFonts w:ascii="Arial" w:hAnsi="Arial" w:cs="Arial"/>
          <w:color w:val="222222"/>
          <w:sz w:val="24"/>
          <w:szCs w:val="24"/>
        </w:rPr>
        <w:t xml:space="preserve">ag of </w:t>
      </w:r>
      <w:r w:rsidR="00937239">
        <w:rPr>
          <w:rFonts w:ascii="Arial" w:hAnsi="Arial" w:cs="Arial"/>
          <w:color w:val="222222"/>
          <w:sz w:val="24"/>
          <w:szCs w:val="24"/>
        </w:rPr>
        <w:t>W</w:t>
      </w:r>
      <w:r>
        <w:rPr>
          <w:rFonts w:ascii="Arial" w:hAnsi="Arial" w:cs="Arial"/>
          <w:color w:val="222222"/>
          <w:sz w:val="24"/>
          <w:szCs w:val="24"/>
        </w:rPr>
        <w:t>ords</w:t>
      </w:r>
      <w:r w:rsidR="00937239">
        <w:rPr>
          <w:rFonts w:ascii="Arial" w:hAnsi="Arial" w:cs="Arial"/>
          <w:color w:val="222222"/>
          <w:sz w:val="24"/>
          <w:szCs w:val="24"/>
        </w:rPr>
        <w:t xml:space="preserve">, que, basicamente, consiste na construção de um histograma de palavras naquele determinado conjunto </w:t>
      </w:r>
      <w:r w:rsidR="008C4002">
        <w:rPr>
          <w:rFonts w:ascii="Arial" w:hAnsi="Arial" w:cs="Arial"/>
          <w:color w:val="222222"/>
          <w:sz w:val="24"/>
          <w:szCs w:val="24"/>
        </w:rPr>
        <w:t>de textos.</w:t>
      </w:r>
      <w:r w:rsidR="00937239">
        <w:rPr>
          <w:rFonts w:ascii="Arial" w:hAnsi="Arial" w:cs="Arial"/>
          <w:color w:val="222222"/>
          <w:sz w:val="24"/>
          <w:szCs w:val="24"/>
        </w:rPr>
        <w:t xml:space="preserve"> (Zhang;Jin;Zhou, 2010) </w:t>
      </w:r>
      <w:hyperlink r:id="rId5" w:history="1">
        <w:r w:rsidR="00937239">
          <w:rPr>
            <w:rStyle w:val="Hyperlink"/>
          </w:rPr>
          <w:t>https://link.springer.com/article/10.1007/s13042-010-0001-0</w:t>
        </w:r>
      </w:hyperlink>
      <w:r w:rsidR="00937239">
        <w:t xml:space="preserve"> </w:t>
      </w:r>
      <w:r w:rsidR="00937239">
        <w:rPr>
          <w:rFonts w:ascii="Arial" w:hAnsi="Arial" w:cs="Arial"/>
          <w:sz w:val="24"/>
          <w:szCs w:val="24"/>
        </w:rPr>
        <w:t>mostram que o modelo de Bag Of Words é um modelo muito relevante e preciso na Categorização de domínios de PLN, pois ele é um modelo genêrico</w:t>
      </w:r>
      <w:r w:rsidR="00937FD4">
        <w:rPr>
          <w:rFonts w:ascii="Arial" w:hAnsi="Arial" w:cs="Arial"/>
          <w:sz w:val="24"/>
          <w:szCs w:val="24"/>
        </w:rPr>
        <w:t xml:space="preserve"> e simple</w:t>
      </w:r>
      <w:r w:rsidR="008C4002">
        <w:rPr>
          <w:rFonts w:ascii="Arial" w:hAnsi="Arial" w:cs="Arial"/>
          <w:sz w:val="24"/>
          <w:szCs w:val="24"/>
        </w:rPr>
        <w:t>s</w:t>
      </w:r>
      <w:r w:rsidR="00937239">
        <w:rPr>
          <w:rFonts w:ascii="Arial" w:hAnsi="Arial" w:cs="Arial"/>
          <w:sz w:val="24"/>
          <w:szCs w:val="24"/>
        </w:rPr>
        <w:t xml:space="preserve"> para a construção de diferentes conjuntos de dados e domínios. </w:t>
      </w:r>
      <w:r w:rsidR="00937FD4">
        <w:rPr>
          <w:rFonts w:ascii="Arial" w:hAnsi="Arial" w:cs="Arial"/>
          <w:sz w:val="24"/>
          <w:szCs w:val="24"/>
        </w:rPr>
        <w:t>Isso i</w:t>
      </w:r>
      <w:r w:rsidR="00937239">
        <w:rPr>
          <w:rFonts w:ascii="Arial" w:hAnsi="Arial" w:cs="Arial"/>
          <w:sz w:val="24"/>
          <w:szCs w:val="24"/>
        </w:rPr>
        <w:t xml:space="preserve">mplica que </w:t>
      </w:r>
      <w:r w:rsidR="00937239">
        <w:rPr>
          <w:rFonts w:ascii="Arial" w:hAnsi="Arial" w:cs="Arial"/>
          <w:sz w:val="24"/>
          <w:szCs w:val="24"/>
        </w:rPr>
        <w:lastRenderedPageBreak/>
        <w:t xml:space="preserve">não necessitamos </w:t>
      </w:r>
      <w:r w:rsidR="008C4002">
        <w:rPr>
          <w:rFonts w:ascii="Arial" w:hAnsi="Arial" w:cs="Arial"/>
          <w:sz w:val="24"/>
          <w:szCs w:val="24"/>
        </w:rPr>
        <w:t>realizar a definição</w:t>
      </w:r>
      <w:r w:rsidR="00937239">
        <w:rPr>
          <w:rFonts w:ascii="Arial" w:hAnsi="Arial" w:cs="Arial"/>
          <w:sz w:val="24"/>
          <w:szCs w:val="24"/>
        </w:rPr>
        <w:t xml:space="preserve"> de heurísticas específicas </w:t>
      </w:r>
      <w:r w:rsidR="008C4002">
        <w:rPr>
          <w:rFonts w:ascii="Arial" w:hAnsi="Arial" w:cs="Arial"/>
          <w:sz w:val="24"/>
          <w:szCs w:val="24"/>
        </w:rPr>
        <w:t>para a categorização de cada domínio.</w:t>
      </w:r>
    </w:p>
    <w:p w:rsidR="008C4002" w:rsidRDefault="008C4002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(Matsubara;Martins;Monard, 2003)</w:t>
      </w:r>
      <w:r w:rsidRPr="008C4002">
        <w:t xml:space="preserve"> </w:t>
      </w:r>
      <w:hyperlink r:id="rId6" w:history="1">
        <w:r>
          <w:rPr>
            <w:rStyle w:val="Hyperlink"/>
          </w:rPr>
          <w:t>https://www.researchgate.net/profile/Maria-Carolina_Monard/publication/266865610_PreTexT_uma_ferramenta_para_pre-processamento_de_textos_utilizando_a_abordagem_bag-of-words/links/544e6ac30cf26dda089010d2/PreTexT-uma-ferramenta-para-pre-processamento-de-textos-utilizando-a-abordagem-bag-of-words.pdf</w:t>
        </w:r>
      </w:hyperlink>
      <w:r>
        <w:t xml:space="preserve"> </w:t>
      </w:r>
      <w:r>
        <w:rPr>
          <w:rFonts w:ascii="Arial" w:hAnsi="Arial" w:cs="Arial"/>
          <w:sz w:val="24"/>
          <w:szCs w:val="24"/>
        </w:rPr>
        <w:t>por outro lado, abordam os problemas de alta dimensionalidade apresentada pela técnica de Bag Of Words, da qual cada nova palavra identificada no conjunto de dados torna-se uma nova componente no modelo de classificação. Por isso, são explanadas uma série de técnicas para redução de dimensionalidade e expressarmos somente os termos mais relevantes no conjunto de Bag Of Words.</w:t>
      </w:r>
    </w:p>
    <w:p w:rsidR="008C4002" w:rsidRDefault="008C4002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Contudo, nosso modelo prioriza a categorização específica dos domínios de áreas, portanto pretendemos representar todas as componentes na técnica de Bag of Words</w:t>
      </w:r>
      <w:r w:rsidR="00937FD4">
        <w:rPr>
          <w:rFonts w:ascii="Arial" w:hAnsi="Arial" w:cs="Arial"/>
          <w:sz w:val="24"/>
          <w:szCs w:val="24"/>
        </w:rPr>
        <w:t xml:space="preserve">, com o intuíto de não perder variância explicada pelo modelo, além de priozirar a identificação de termos técnicos e exclusivos de determinada área científica. </w:t>
      </w:r>
    </w:p>
    <w:p w:rsidR="008C4002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Nosso modelo de Bag Of Words atual cobre um conjunto de 123 mil palavras em inglês, do qual estima-se que cobre algo entre 10% e 25% das palavras do idioma inglês.</w:t>
      </w:r>
    </w:p>
    <w:p w:rsidR="00937FD4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Abaixo, apresentamos a representação de uma </w:t>
      </w:r>
      <w:r w:rsidRPr="00937FD4">
        <w:rPr>
          <w:rFonts w:ascii="Arial" w:hAnsi="Arial" w:cs="Arial"/>
          <w:i/>
          <w:sz w:val="24"/>
          <w:szCs w:val="24"/>
        </w:rPr>
        <w:t>Cloud of Words</w:t>
      </w:r>
      <w:r>
        <w:rPr>
          <w:rFonts w:ascii="Arial" w:hAnsi="Arial" w:cs="Arial"/>
          <w:sz w:val="24"/>
          <w:szCs w:val="24"/>
        </w:rPr>
        <w:t xml:space="preserve">, técnica visual equivalente a estrutura de dados </w:t>
      </w:r>
      <w:r w:rsidRPr="00937FD4">
        <w:rPr>
          <w:rFonts w:ascii="Arial" w:hAnsi="Arial" w:cs="Arial"/>
          <w:i/>
          <w:sz w:val="24"/>
          <w:szCs w:val="24"/>
        </w:rPr>
        <w:t>Bag Of Words</w:t>
      </w:r>
      <w:r w:rsidRPr="00937FD4">
        <w:rPr>
          <w:rFonts w:ascii="Arial" w:hAnsi="Arial" w:cs="Arial"/>
          <w:sz w:val="24"/>
          <w:szCs w:val="24"/>
        </w:rPr>
        <w:t>:</w:t>
      </w:r>
    </w:p>
    <w:p w:rsidR="00937FD4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rmationAndCompu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D4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Imagem 1:Termos mais relevantas nas áreas de informação e comunicação tecnológica. Fonte: Arquivo Próprio </w:t>
      </w:r>
    </w:p>
    <w:p w:rsidR="00937FD4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FD4" w:rsidRDefault="00937FD4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 uma das áreas, foram construídos modelos semelhantes contendo conjuntos de palavras relevantes para aquelas determinadas áreas.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4"/>
        <w:gridCol w:w="3788"/>
      </w:tblGrid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1D8F44B" wp14:editId="2B20C4E7">
                  <wp:extent cx="1913522" cy="1181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griculture,fisheries&amp;forestry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66" cy="11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32E9BE0" wp14:editId="4E1E9E91">
                  <wp:extent cx="1907538" cy="11715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ology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476" cy="120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7B5F161" wp14:editId="69F9BB67">
                  <wp:extent cx="1905000" cy="1179872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omedical_research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80" cy="119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8A4D72" wp14:editId="6DC9EE9F">
                  <wp:extent cx="1909033" cy="1182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uild&amp;enviromentdesig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222" cy="1190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A7E0E0D" wp14:editId="60EDDEE3">
                  <wp:extent cx="2163725" cy="13335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hemistry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24" cy="134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F278865" wp14:editId="2AA886A0">
                  <wp:extent cx="2268450" cy="1400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mmucation&amp;textualLanguag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90" cy="14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6A4262FD" wp14:editId="0FDC695E">
                  <wp:extent cx="2186691" cy="1343025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arth&amp;enviromentScienc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731" cy="134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2D9FC8" wp14:editId="58577EB7">
                  <wp:extent cx="2247878" cy="139065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conomic&amp;busines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618" cy="139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5F08B92" wp14:editId="482725CC">
                  <wp:extent cx="2162175" cy="135339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nbling&amp;strategictechnologie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110" cy="136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7F42022" wp14:editId="5B816D79">
                  <wp:extent cx="2190840" cy="13811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ngineering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261" cy="139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43CDB33" wp14:editId="3DB224E5">
                  <wp:extent cx="2175860" cy="13430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eneralScience&amp;tecnology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730" cy="136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21CFD28" wp14:editId="1D28AFEA">
                  <wp:extent cx="2133600" cy="133851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istoricalstudie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56" cy="135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81D0D4A" wp14:editId="0D93C560">
                  <wp:extent cx="2291454" cy="1419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nformationAndCompute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269" cy="142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8AC5EBE" wp14:editId="37BBA020">
                  <wp:extent cx="2256790" cy="139457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thematics&amp;statistics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79" cy="140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D9E6A2B" wp14:editId="615BBB7A">
                  <wp:extent cx="2201231" cy="1363345"/>
                  <wp:effectExtent l="0" t="0" r="889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hilosophy&amp;teology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8" cy="136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69119B4" wp14:editId="2793D3B3">
                  <wp:extent cx="2205694" cy="1361440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hysycs&amp;astronomy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20" cy="13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EFC" w:rsidTr="00BA1EFC">
        <w:tc>
          <w:tcPr>
            <w:tcW w:w="322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B7D6393" wp14:editId="1461FE4F">
                  <wp:extent cx="2066290" cy="1271993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sychology&amp;cognitiveSciences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93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:rsidR="00BA1EFC" w:rsidRDefault="00BA1EFC" w:rsidP="0098582C">
            <w:pPr>
              <w:pStyle w:val="HTMLPreformatted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9D675B5" wp14:editId="436E7B0B">
                  <wp:extent cx="2166790" cy="1340485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ublichealth&amp;healthcar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208" cy="135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EFC" w:rsidRPr="00937FD4" w:rsidRDefault="00BA1EFC" w:rsidP="0098582C">
      <w:pPr>
        <w:pStyle w:val="HTMLPreformatted"/>
        <w:shd w:val="clear" w:color="auto" w:fill="FFFFFF" w:themeFill="background1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2123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yshycolog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340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cialscienc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3381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andperformingar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EFC" w:rsidRPr="00937F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E7EA1"/>
    <w:multiLevelType w:val="hybridMultilevel"/>
    <w:tmpl w:val="E4C8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578"/>
    <w:rsid w:val="000E550C"/>
    <w:rsid w:val="002C7126"/>
    <w:rsid w:val="002F2468"/>
    <w:rsid w:val="003636A7"/>
    <w:rsid w:val="003E6AE0"/>
    <w:rsid w:val="00433A24"/>
    <w:rsid w:val="00481A10"/>
    <w:rsid w:val="004B61E0"/>
    <w:rsid w:val="00631F88"/>
    <w:rsid w:val="008C4002"/>
    <w:rsid w:val="008D6578"/>
    <w:rsid w:val="00937239"/>
    <w:rsid w:val="00937FD4"/>
    <w:rsid w:val="0098582C"/>
    <w:rsid w:val="009C4009"/>
    <w:rsid w:val="00B9024B"/>
    <w:rsid w:val="00BA1EFC"/>
    <w:rsid w:val="00BC19A2"/>
    <w:rsid w:val="00C560DE"/>
    <w:rsid w:val="00E5271A"/>
    <w:rsid w:val="00F33D22"/>
    <w:rsid w:val="00FB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AEEA6"/>
  <w15:chartTrackingRefBased/>
  <w15:docId w15:val="{1BD18AC3-6E00-458B-9926-B2341714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C7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712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937239"/>
    <w:rPr>
      <w:color w:val="0000FF"/>
      <w:u w:val="single"/>
    </w:rPr>
  </w:style>
  <w:style w:type="table" w:styleId="TableGrid">
    <w:name w:val="Table Grid"/>
    <w:basedOn w:val="TableNormal"/>
    <w:uiPriority w:val="39"/>
    <w:rsid w:val="00BA1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9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rofile/Maria-Carolina_Monard/publication/266865610_PreTexT_uma_ferramenta_para_pre-processamento_de_textos_utilizando_a_abordagem_bag-of-words/links/544e6ac30cf26dda089010d2/PreTexT-uma-ferramenta-para-pre-processamento-de-textos-utilizando-a-abordagem-bag-of-words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link.springer.com/article/10.1007/s13042-010-0001-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8</Pages>
  <Words>1091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4</cp:revision>
  <dcterms:created xsi:type="dcterms:W3CDTF">2020-04-21T23:20:00Z</dcterms:created>
  <dcterms:modified xsi:type="dcterms:W3CDTF">2020-04-22T21:29:00Z</dcterms:modified>
</cp:coreProperties>
</file>