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20"/>
        <w:jc w:val="center"/>
      </w:pPr>
      <w:r>
        <w:rPr>
          <w:rFonts w:ascii="Calibri" w:cs="Calibri" w:eastAsia="Calibri" w:hAnsi="Calibri"/>
          <w:b/>
          <w:bCs/>
          <w:i w:val="false"/>
          <w:iCs w:val="false"/>
          <w:color w:val="595959"/>
          <w:sz w:val="20"/>
          <w:szCs w:val="20"/>
        </w:rPr>
        <w:t xml:space="preserve">SENAI LIMEIRA — SERVIÇO NACIONAL DE APRENDIZAGEM INDUSTRIAL</w:t>
      </w:r>
    </w:p>
    <w:p>
      <w:pPr>
        <w:spacing w:after="900"/>
        <w:jc w:val="center"/>
      </w:pPr>
      <w:r>
        <w:rPr>
          <w:rFonts w:ascii="Calibri" w:cs="Calibri" w:eastAsia="Calibri" w:hAnsi="Calibri"/>
          <w:b w:val="false"/>
          <w:bCs w:val="false"/>
          <w:i w:val="false"/>
          <w:iCs w:val="false"/>
          <w:color w:val="595959"/>
          <w:sz w:val="20"/>
          <w:szCs w:val="20"/>
        </w:rPr>
        <w:t xml:space="preserve">CURSO TÉCNICO EM DESENVOLVIMENTO DE SISTEMAS — 3º DEV-A</w:t>
      </w:r>
    </w:p>
    <w:p>
      <w:pPr>
        <w:spacing w:after="80"/>
        <w:jc w:val="center"/>
      </w:pPr>
      <w:r>
        <w:rPr>
          <w:rFonts w:ascii="Calibri" w:cs="Calibri" w:eastAsia="Calibri" w:hAnsi="Calibri"/>
          <w:b/>
          <w:bCs/>
          <w:i w:val="false"/>
          <w:iCs w:val="false"/>
          <w:color w:val="C8102E"/>
          <w:sz w:val="56"/>
          <w:szCs w:val="56"/>
        </w:rPr>
        <w:t xml:space="preserve">SENTINEL</w:t>
      </w:r>
    </w:p>
    <w:p>
      <w:pPr>
        <w:spacing w:after="40"/>
        <w:jc w:val="center"/>
      </w:pPr>
      <w:r>
        <w:rPr>
          <w:rFonts w:ascii="Calibri" w:cs="Calibri" w:eastAsia="Calibri" w:hAnsi="Calibri"/>
          <w:b/>
          <w:bCs/>
          <w:i w:val="false"/>
          <w:iCs w:val="false"/>
          <w:color w:val="1A1A1A"/>
          <w:sz w:val="26"/>
          <w:szCs w:val="26"/>
        </w:rPr>
        <w:t xml:space="preserve">Plataforma SaaS Modular de Monitoramento Preditivo e</w:t>
      </w:r>
    </w:p>
    <w:p>
      <w:pPr>
        <w:spacing w:after="160"/>
        <w:jc w:val="center"/>
      </w:pPr>
      <w:r>
        <w:rPr>
          <w:rFonts w:ascii="Calibri" w:cs="Calibri" w:eastAsia="Calibri" w:hAnsi="Calibri"/>
          <w:b/>
          <w:bCs/>
          <w:i w:val="false"/>
          <w:iCs w:val="false"/>
          <w:color w:val="1A1A1A"/>
          <w:sz w:val="26"/>
          <w:szCs w:val="26"/>
        </w:rPr>
        <w:t xml:space="preserve">Segurança Operacional Baseada em Detecção de Anomalias e Inteligência Artificial</w:t>
      </w:r>
    </w:p>
    <w:p>
      <w:pPr>
        <w:spacing w:after="900"/>
        <w:jc w:val="center"/>
      </w:pPr>
      <w:r>
        <w:rPr>
          <w:rFonts w:ascii="Calibri" w:cs="Calibri" w:eastAsia="Calibri" w:hAnsi="Calibri"/>
          <w:b w:val="false"/>
          <w:bCs w:val="false"/>
          <w:i/>
          <w:iCs/>
          <w:color w:val="595959"/>
          <w:sz w:val="18"/>
          <w:szCs w:val="18"/>
        </w:rPr>
        <w:t xml:space="preserve">(nome do projeto provisório — sujeito a validação pela equipe)</w:t>
      </w:r>
    </w:p>
    <w:p>
      <w:pPr>
        <w:spacing w:after="40"/>
        <w:jc w:val="center"/>
      </w:pPr>
      <w:r>
        <w:rPr>
          <w:rFonts w:ascii="Calibri" w:cs="Calibri" w:eastAsia="Calibri" w:hAnsi="Calibri"/>
          <w:b w:val="false"/>
          <w:bCs w:val="false"/>
          <w:i w:val="false"/>
          <w:iCs w:val="false"/>
          <w:color w:val="1A1A1A"/>
          <w:sz w:val="20"/>
          <w:szCs w:val="20"/>
        </w:rPr>
        <w:t xml:space="preserve">Anteprojeto de Trabalho de Conclusão de Curso apresentado como etapa</w:t>
      </w:r>
    </w:p>
    <w:p>
      <w:pPr>
        <w:spacing w:after="900"/>
        <w:jc w:val="center"/>
      </w:pPr>
      <w:r>
        <w:rPr>
          <w:rFonts w:ascii="Calibri" w:cs="Calibri" w:eastAsia="Calibri" w:hAnsi="Calibri"/>
          <w:b w:val="false"/>
          <w:bCs w:val="false"/>
          <w:i w:val="false"/>
          <w:iCs w:val="false"/>
          <w:color w:val="1A1A1A"/>
          <w:sz w:val="20"/>
          <w:szCs w:val="20"/>
        </w:rPr>
        <w:t xml:space="preserve">preliminar de definição de escopo, arquitetura e cronograma.</w:t>
      </w:r>
    </w:p>
    <w:p>
      <w:pPr>
        <w:spacing w:after="60"/>
        <w:jc w:val="center"/>
      </w:pPr>
      <w:r>
        <w:rPr>
          <w:rFonts w:ascii="Calibri" w:cs="Calibri" w:eastAsia="Calibri" w:hAnsi="Calibri"/>
          <w:b w:val="false"/>
          <w:bCs w:val="false"/>
          <w:i w:val="false"/>
          <w:iCs w:val="false"/>
          <w:color w:val="1A1A1A"/>
          <w:sz w:val="21"/>
          <w:szCs w:val="21"/>
        </w:rPr>
        <w:t xml:space="preserve">Lucas Terminiello</w:t>
      </w:r>
    </w:p>
    <w:p>
      <w:pPr>
        <w:spacing w:after="60"/>
        <w:jc w:val="center"/>
      </w:pPr>
      <w:r>
        <w:rPr>
          <w:rFonts w:ascii="Calibri" w:cs="Calibri" w:eastAsia="Calibri" w:hAnsi="Calibri"/>
          <w:b w:val="false"/>
          <w:bCs w:val="false"/>
          <w:i w:val="false"/>
          <w:iCs w:val="false"/>
          <w:color w:val="1A1A1A"/>
          <w:sz w:val="21"/>
          <w:szCs w:val="21"/>
        </w:rPr>
        <w:t xml:space="preserve">Matheus Malaman</w:t>
      </w:r>
    </w:p>
    <w:p>
      <w:pPr>
        <w:spacing w:after="60"/>
        <w:jc w:val="center"/>
      </w:pPr>
      <w:r>
        <w:rPr>
          <w:rFonts w:ascii="Calibri" w:cs="Calibri" w:eastAsia="Calibri" w:hAnsi="Calibri"/>
          <w:b w:val="false"/>
          <w:bCs w:val="false"/>
          <w:i w:val="false"/>
          <w:iCs w:val="false"/>
          <w:color w:val="1A1A1A"/>
          <w:sz w:val="21"/>
          <w:szCs w:val="21"/>
        </w:rPr>
        <w:t xml:space="preserve">Jefferson Bruno C. Miguel</w:t>
      </w:r>
    </w:p>
    <w:p>
      <w:pPr>
        <w:spacing w:after="900"/>
        <w:jc w:val="center"/>
      </w:pPr>
      <w:r>
        <w:rPr>
          <w:rFonts w:ascii="Calibri" w:cs="Calibri" w:eastAsia="Calibri" w:hAnsi="Calibri"/>
          <w:b w:val="false"/>
          <w:bCs w:val="false"/>
          <w:i w:val="false"/>
          <w:iCs w:val="false"/>
          <w:color w:val="1A1A1A"/>
          <w:sz w:val="21"/>
          <w:szCs w:val="21"/>
        </w:rPr>
        <w:t xml:space="preserve">Julio</w:t>
      </w:r>
    </w:p>
    <w:p>
      <w:pPr>
        <w:spacing w:after="1400"/>
        <w:jc w:val="center"/>
      </w:pPr>
      <w:r>
        <w:rPr>
          <w:rFonts w:ascii="Calibri" w:cs="Calibri" w:eastAsia="Calibri" w:hAnsi="Calibri"/>
          <w:b w:val="false"/>
          <w:bCs w:val="false"/>
          <w:i/>
          <w:iCs/>
          <w:color w:val="595959"/>
          <w:sz w:val="20"/>
          <w:szCs w:val="20"/>
        </w:rPr>
        <w:t xml:space="preserve">Orientador(a): a definir</w:t>
      </w:r>
    </w:p>
    <w:p>
      <w:pPr>
        <w:spacing w:after="120"/>
        <w:jc w:val="center"/>
      </w:pPr>
      <w:r>
        <w:rPr>
          <w:rFonts w:ascii="Calibri" w:cs="Calibri" w:eastAsia="Calibri" w:hAnsi="Calibri"/>
          <w:b w:val="false"/>
          <w:bCs w:val="false"/>
          <w:i w:val="false"/>
          <w:iCs w:val="false"/>
          <w:color w:val="1A1A1A"/>
          <w:sz w:val="20"/>
          <w:szCs w:val="20"/>
        </w:rPr>
        <w:t xml:space="preserve">Limeira — SP</w:t>
      </w:r>
    </w:p>
    <w:p>
      <w:pPr>
        <w:spacing w:after="120"/>
        <w:jc w:val="center"/>
      </w:pPr>
      <w:r>
        <w:rPr>
          <w:rFonts w:ascii="Calibri" w:cs="Calibri" w:eastAsia="Calibri" w:hAnsi="Calibri"/>
          <w:b w:val="false"/>
          <w:bCs w:val="false"/>
          <w:i w:val="false"/>
          <w:iCs w:val="false"/>
          <w:color w:val="1A1A1A"/>
          <w:sz w:val="20"/>
          <w:szCs w:val="20"/>
        </w:rPr>
        <w:t xml:space="preserve">2026</w:t>
      </w:r>
    </w:p>
    <w:p>
      <w:pPr>
        <w:sectPr>
          <w:pgSz w:w="11906" w:h="16838" w:orient="portrait"/>
          <w:pgMar w:top="1701" w:right="1134" w:bottom="1134" w:left="1701" w:header="708" w:footer="708" w:gutter="0"/>
          <w:pgNumType/>
          <w:docGrid w:linePitch="360"/>
        </w:sectPr>
      </w:pPr>
    </w:p>
    <w:p>
      <w:pPr>
        <w:spacing w:after="400"/>
        <w:jc w:val="center"/>
      </w:pPr>
      <w:r>
        <w:rPr>
          <w:rFonts w:ascii="Calibri" w:cs="Calibri" w:eastAsia="Calibri" w:hAnsi="Calibri"/>
          <w:b/>
          <w:bCs/>
          <w:color w:val="C8102E"/>
          <w:sz w:val="30"/>
          <w:szCs w:val="30"/>
        </w:rPr>
        <w:t xml:space="preserve">SUMÁRIO</w:t>
      </w:r>
    </w:p>
    <w:sdt>
      <w:sdtPr>
        <w:alias w:val="Sumário"/>
      </w:sdtPr>
      <w:sdtContent>
        <w:p>
          <w:r>
            <w:fldChar w:fldCharType="begin" w:dirty="true"/>
            <w:instrText xml:space="preserve">TOC \h \o "1-2"</w:instrText>
            <w:fldChar w:fldCharType="separate"/>
          </w:r>
        </w:p>
        <w:p>
          <w:r>
            <w:fldChar w:fldCharType="end"/>
          </w:r>
        </w:p>
      </w:sdtContent>
    </w:sdt>
    <w:p>
      <w:pPr>
        <w:spacing w:before="300"/>
      </w:pPr>
      <w:r>
        <w:rPr>
          <w:rFonts w:ascii="Calibri" w:cs="Calibri" w:eastAsia="Calibri" w:hAnsi="Calibri"/>
          <w:i/>
          <w:iCs/>
          <w:color w:val="595959"/>
          <w:sz w:val="18"/>
          <w:szCs w:val="18"/>
        </w:rPr>
        <w:t xml:space="preserve">Nota: abra o documento no Word e clique com o botão direito sobre o sumário → "Atualizar campo" → "Atualizar o índice inteiro" para gerar a numeração de páginas automaticamente.</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1. Introdução</w:t>
      </w:r>
    </w:p>
    <w:p>
      <w:pPr>
        <w:spacing w:after="200" w:line="300"/>
        <w:jc w:val="both"/>
      </w:pPr>
      <w:r>
        <w:rPr>
          <w:rFonts w:ascii="Calibri" w:cs="Calibri" w:eastAsia="Calibri" w:hAnsi="Calibri"/>
          <w:color w:val="1A1A1A"/>
          <w:sz w:val="21"/>
          <w:szCs w:val="21"/>
        </w:rPr>
        <w:t xml:space="preserve">O mercado brasileiro de tecnologia atravessa, em 2026, um momento de maturação estratégica: o crescimento do setor deixou de ser guiado apenas por expansão e passou a priorizar eficiência operacional e retorno mensurável sobre cada investimento realizado (ABES; IDC, 2026). Dentro desse cenário, o tema que mais concentra atenção executiva é a ascensão dos agentes de inteligência artificial — sistemas capazes de planejar, executar tarefas e apoiar decisões dentro de processos de negócio reais, e não apenas responder perguntas isoladas. Levantamento conduzido pela ABES em parceria com a IDC apontou que 53% dos executivos brasileiros colocam agentes de IA e IA generativa como prioridade estratégica para 2026 (ABES; IDC, 2026).</w:t>
      </w:r>
    </w:p>
    <w:p>
      <w:pPr>
        <w:spacing w:after="200" w:line="300"/>
        <w:jc w:val="both"/>
      </w:pPr>
      <w:r>
        <w:rPr>
          <w:rFonts w:ascii="Calibri" w:cs="Calibri" w:eastAsia="Calibri" w:hAnsi="Calibri"/>
          <w:color w:val="1A1A1A"/>
          <w:sz w:val="21"/>
          <w:szCs w:val="21"/>
        </w:rPr>
        <w:t xml:space="preserve">Esse movimento tem uma consequência direta sobre o tipo de sistema que ainda faz sentido desenvolver como produto: soluções genéricas de cadastro e fluxo (CRUD) tendem à comoditização, pois podem ser replicadas rapidamente por ferramentas de IA generativa. Em contrapartida, soluções verticais construídas sobre dados proprietários de um domínio específico mantêm vantagem competitiva defensável — a combinação de dados verticais com fluxos de trabalho críticos ao negócio é apontada como um dos principais fatores de resiliência de produtos de software frente à automação por IA (ACORN apud IT FORUM, 2026). A mesma análise projeta que, até 2027, agentes de IA poderão reduzir em até 80% a necessidade de licenciamento de software tradicional em categorias que não sustentam esse tipo de diferencial.</w:t>
      </w:r>
    </w:p>
    <w:p>
      <w:pPr>
        <w:spacing w:after="200" w:line="300"/>
        <w:jc w:val="both"/>
      </w:pPr>
      <w:r>
        <w:rPr>
          <w:rFonts w:ascii="Calibri" w:cs="Calibri" w:eastAsia="Calibri" w:hAnsi="Calibri"/>
          <w:color w:val="1A1A1A"/>
          <w:sz w:val="21"/>
          <w:szCs w:val="21"/>
        </w:rPr>
        <w:t xml:space="preserve">Em paralelo, dois vetores de demanda aparecem com força na literatura de mercado consultada para este anteprojeto: (i) a manutenção preditiva de ativos físicos, apoiada por sensoriamento IoT e inteligência artificial, dentro do movimento mais amplo de Indústria 4.0 (POLIBRAS SOFTWARE, 2025); e (ii) a segurança da informação e a conformidade regulatória, impulsionadas pela fiscalização crescente da Lei Geral de Proteção de Dados (LGPD) e pela adoção de arquiteturas de confiança mínima ("Zero Trust") mesmo em pequenas e médias empresas (STARTI, 2026).</w:t>
      </w:r>
    </w:p>
    <w:p>
      <w:pPr>
        <w:spacing w:after="200" w:line="300"/>
        <w:jc w:val="both"/>
      </w:pPr>
      <w:r>
        <w:rPr>
          <w:rFonts w:ascii="Calibri" w:cs="Calibri" w:eastAsia="Calibri" w:hAnsi="Calibri"/>
          <w:color w:val="1A1A1A"/>
          <w:sz w:val="21"/>
          <w:szCs w:val="21"/>
        </w:rPr>
        <w:t xml:space="preserve">Este documento apresenta o anteprojeto de um sistema que nasce da interseção consciente desses dois vetores — não como dois produtos separados, mas como duas aplicações de um mesmo núcleo técnico de inteligência artificial, conforme detalhado na seção de arquitetura proposta.</w:t>
      </w:r>
    </w:p>
    <w:p>
      <w:pPr>
        <w:pStyle w:val="Heading2"/>
        <w:spacing w:after="160" w:before="320"/>
      </w:pPr>
      <w:r>
        <w:rPr>
          <w:rFonts w:ascii="Calibri" w:cs="Calibri" w:eastAsia="Calibri" w:hAnsi="Calibri"/>
          <w:b/>
          <w:bCs/>
          <w:color w:val="8C1122"/>
          <w:sz w:val="23"/>
          <w:szCs w:val="23"/>
        </w:rPr>
        <w:t xml:space="preserve">1.1 Panorama de Mercado — Síntese dos Indicadores Consultados</w:t>
      </w:r>
    </w:p>
    <w:p>
      <w:pPr>
        <w:spacing w:after="200" w:line="300"/>
        <w:jc w:val="both"/>
      </w:pPr>
      <w:r>
        <w:rPr>
          <w:rFonts w:ascii="Calibri" w:cs="Calibri" w:eastAsia="Calibri" w:hAnsi="Calibri"/>
          <w:color w:val="1A1A1A"/>
          <w:sz w:val="21"/>
          <w:szCs w:val="21"/>
        </w:rPr>
        <w:t xml:space="preserve">Os indicadores a seguir, levantados junto a fontes especializadas em maio–agosto de 2026, fundamentam a escolha de tema e serão retomados na justificativa:</w:t>
      </w:r>
    </w:p>
    <w:p>
      <w:pPr>
        <w:pStyle w:val="ListParagraph"/>
        <w:numPr>
          <w:ilvl w:val="0"/>
          <w:numId w:val="2"/>
        </w:numPr>
        <w:spacing w:after="110" w:line="290"/>
        <w:jc w:val="both"/>
      </w:pPr>
      <w:r>
        <w:rPr>
          <w:rFonts w:ascii="Calibri" w:cs="Calibri" w:eastAsia="Calibri" w:hAnsi="Calibri"/>
          <w:color w:val="1A1A1A"/>
          <w:sz w:val="21"/>
          <w:szCs w:val="21"/>
        </w:rPr>
        <w:t xml:space="preserve">Indústria responde por 19,5% do consumo de software e serviços no Brasil, atrás apenas de Serviços/Telecom (24,3%) e do setor Financeiro (25,4%) (ABES; IDC, 2026).</w:t>
      </w:r>
    </w:p>
    <w:p>
      <w:pPr>
        <w:pStyle w:val="ListParagraph"/>
        <w:numPr>
          <w:ilvl w:val="0"/>
          <w:numId w:val="2"/>
        </w:numPr>
        <w:spacing w:after="110" w:line="290"/>
        <w:jc w:val="both"/>
      </w:pPr>
      <w:r>
        <w:rPr>
          <w:rFonts w:ascii="Calibri" w:cs="Calibri" w:eastAsia="Calibri" w:hAnsi="Calibri"/>
          <w:color w:val="1A1A1A"/>
          <w:sz w:val="21"/>
          <w:szCs w:val="21"/>
        </w:rPr>
        <w:t xml:space="preserve">67% das empresas brasileiras já tratam IA como prioridade estratégica, com foco em otimizar operações e reduzir custos (ALURA, 2026).</w:t>
      </w:r>
    </w:p>
    <w:p>
      <w:pPr>
        <w:pStyle w:val="ListParagraph"/>
        <w:numPr>
          <w:ilvl w:val="0"/>
          <w:numId w:val="2"/>
        </w:numPr>
        <w:spacing w:after="110" w:line="290"/>
        <w:jc w:val="both"/>
      </w:pPr>
      <w:r>
        <w:rPr>
          <w:rFonts w:ascii="Calibri" w:cs="Calibri" w:eastAsia="Calibri" w:hAnsi="Calibri"/>
          <w:color w:val="1A1A1A"/>
          <w:sz w:val="21"/>
          <w:szCs w:val="21"/>
        </w:rPr>
        <w:t xml:space="preserve">40% das empresas brasileiras já investem em agentes de IA; outras 33% planejam iniciar projetos nos próximos 12 meses (ABES; IDC, 2026).</w:t>
      </w:r>
    </w:p>
    <w:p>
      <w:pPr>
        <w:pStyle w:val="ListParagraph"/>
        <w:numPr>
          <w:ilvl w:val="0"/>
          <w:numId w:val="2"/>
        </w:numPr>
        <w:spacing w:after="110" w:line="290"/>
        <w:jc w:val="both"/>
      </w:pPr>
      <w:r>
        <w:rPr>
          <w:rFonts w:ascii="Calibri" w:cs="Calibri" w:eastAsia="Calibri" w:hAnsi="Calibri"/>
          <w:color w:val="1A1A1A"/>
          <w:sz w:val="21"/>
          <w:szCs w:val="21"/>
        </w:rPr>
        <w:t xml:space="preserve">A massificação do Zero Trust em pequenas e médias empresas é apontada como tendência central para o segundo semestre de 2026, puxada pela fiscalização da LGPD e por exigências de segurança impostas por grandes empresas a seus fornecedores menores (STARTI, 2026).</w:t>
      </w:r>
    </w:p>
    <w:p>
      <w:pPr>
        <w:pStyle w:val="ListParagraph"/>
        <w:numPr>
          <w:ilvl w:val="0"/>
          <w:numId w:val="2"/>
        </w:numPr>
        <w:spacing w:after="110" w:line="290"/>
        <w:jc w:val="both"/>
      </w:pPr>
      <w:r>
        <w:rPr>
          <w:rFonts w:ascii="Calibri" w:cs="Calibri" w:eastAsia="Calibri" w:hAnsi="Calibri"/>
          <w:color w:val="1A1A1A"/>
          <w:sz w:val="21"/>
          <w:szCs w:val="21"/>
        </w:rPr>
        <w:t xml:space="preserve">A ANPD já aplica multas significativas por descumprimento da LGPD, com auditorias mais frequentes e mais profundas (IMPACTA, 2026).</w:t>
      </w:r>
    </w:p>
    <w:p>
      <w:pPr>
        <w:pStyle w:val="ListParagraph"/>
        <w:numPr>
          <w:ilvl w:val="0"/>
          <w:numId w:val="2"/>
        </w:numPr>
        <w:spacing w:after="110" w:line="290"/>
        <w:jc w:val="both"/>
      </w:pPr>
      <w:r>
        <w:rPr>
          <w:rFonts w:ascii="Calibri" w:cs="Calibri" w:eastAsia="Calibri" w:hAnsi="Calibri"/>
          <w:color w:val="1A1A1A"/>
          <w:sz w:val="21"/>
          <w:szCs w:val="21"/>
        </w:rPr>
        <w:t xml:space="preserve">O Gartner projeta gastos globais em segurança da informação de US$ 244,2 bilhões em 2026, crescimento de 13,3% sobre 2025 (CLARANET apud INFORCHANNEL, 2026).</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2. Problema de Pesquisa</w:t>
      </w:r>
    </w:p>
    <w:p>
      <w:pPr>
        <w:spacing w:after="200" w:line="300"/>
        <w:jc w:val="both"/>
      </w:pPr>
      <w:r>
        <w:rPr>
          <w:rFonts w:ascii="Calibri" w:cs="Calibri" w:eastAsia="Calibri" w:hAnsi="Calibri"/>
          <w:color w:val="1A1A1A"/>
          <w:sz w:val="21"/>
          <w:szCs w:val="21"/>
        </w:rPr>
        <w:t xml:space="preserve">Pequenas e médias empresas — especialmente as de base industrial — enfrentam simultaneamente duas dores crescentes: a necessidade de monitorar e antecipar falhas em ativos físicos (evitando parada de produção não planejada) e a necessidade de comprovar controle sobre quem acessa seus sistemas e dados (por exigência regulatória ou contratual). Historicamente, essas duas necessidades são endereçadas por produtos de software distintos, com custos de licenciamento, integração e aprendizado somados — algo frequentemente inviável para empresas de menor porte, que concentram a maior parte do tecido empresarial brasileiro.</w:t>
      </w:r>
    </w:p>
    <w:p>
      <w:pPr>
        <w:spacing w:after="200" w:line="300"/>
        <w:jc w:val="both"/>
      </w:pPr>
      <w:r>
        <w:rPr>
          <w:rFonts w:ascii="Calibri" w:cs="Calibri" w:eastAsia="Calibri" w:hAnsi="Calibri"/>
          <w:color w:val="1A1A1A"/>
          <w:sz w:val="21"/>
          <w:szCs w:val="21"/>
        </w:rPr>
        <w:t xml:space="preserve">A pergunta de pesquisa que orienta este anteprojeto é:</w:t>
      </w:r>
    </w:p>
    <w:p>
      <w:pPr>
        <w:spacing w:after="200" w:line="300"/>
        <w:jc w:val="both"/>
      </w:pPr>
      <w:r>
        <w:rPr>
          <w:rFonts w:ascii="Calibri" w:cs="Calibri" w:eastAsia="Calibri" w:hAnsi="Calibri"/>
          <w:i/>
          <w:iCs/>
          <w:color w:val="1A1A1A"/>
          <w:sz w:val="21"/>
          <w:szCs w:val="21"/>
        </w:rPr>
        <w:t xml:space="preserve">É possível conceber e implementar, dentro do prazo de um Trabalho de Conclusão de Curso técnico, uma plataforma modular e multi-tenant que aplique um mesmo mecanismo de inteligência artificial — detecção de anomalias em séries temporais — tanto ao monitoramento preditivo de ativos físicos industriais quanto à vigilância de padrões de acesso e segurança operacional, mantendo qualidade de interface, experiência de uso e acessibilidade equiparável a um produto comercial?</w:t>
      </w:r>
    </w:p>
    <w:p>
      <w:pPr>
        <w:pStyle w:val="Heading1"/>
        <w:pBdr>
          <w:bottom w:val="single" w:color="C8102E" w:sz="8" w:space="6"/>
        </w:pBdr>
        <w:spacing w:after="240" w:before="480"/>
      </w:pPr>
      <w:r>
        <w:rPr>
          <w:rFonts w:ascii="Calibri" w:cs="Calibri" w:eastAsia="Calibri" w:hAnsi="Calibri"/>
          <w:b/>
          <w:bCs/>
          <w:color w:val="1A1A1A"/>
          <w:sz w:val="27"/>
          <w:szCs w:val="27"/>
        </w:rPr>
        <w:t xml:space="preserve">3. Justificativa</w:t>
      </w:r>
    </w:p>
    <w:p>
      <w:pPr>
        <w:spacing w:after="200" w:line="300"/>
        <w:jc w:val="both"/>
      </w:pPr>
      <w:r>
        <w:rPr>
          <w:rFonts w:ascii="Calibri" w:cs="Calibri" w:eastAsia="Calibri" w:hAnsi="Calibri"/>
          <w:color w:val="1A1A1A"/>
          <w:sz w:val="21"/>
          <w:szCs w:val="21"/>
        </w:rPr>
        <w:t xml:space="preserve">A justificativa deste projeto se apoia em três frentes complementares: oportunidade de mercado, viabilidade técnica da equipe e sinergia com a formação complementar em curso pelos integrantes.</w:t>
      </w:r>
    </w:p>
    <w:p>
      <w:pPr>
        <w:pStyle w:val="Heading2"/>
        <w:spacing w:after="160" w:before="320"/>
      </w:pPr>
      <w:r>
        <w:rPr>
          <w:rFonts w:ascii="Calibri" w:cs="Calibri" w:eastAsia="Calibri" w:hAnsi="Calibri"/>
          <w:b/>
          <w:bCs/>
          <w:color w:val="8C1122"/>
          <w:sz w:val="23"/>
          <w:szCs w:val="23"/>
        </w:rPr>
        <w:t xml:space="preserve">3.1 Oportunidade de Mercado</w:t>
      </w:r>
    </w:p>
    <w:p>
      <w:pPr>
        <w:spacing w:after="200" w:line="300"/>
        <w:jc w:val="both"/>
      </w:pPr>
      <w:r>
        <w:rPr>
          <w:rFonts w:ascii="Calibri" w:cs="Calibri" w:eastAsia="Calibri" w:hAnsi="Calibri"/>
          <w:color w:val="1A1A1A"/>
          <w:sz w:val="21"/>
          <w:szCs w:val="21"/>
        </w:rPr>
        <w:t xml:space="preserve">Os indicadores apresentados na Seção 1.1 mostram convergência entre dois movimentos que normalmente são tratados como assuntos separados na literatura de mercado — automação inteligente de operações e segurança/conformidade — mas que, do ponto de vista técnico, compartilham a mesma classe de problema matemático: identificar, em uma série de eventos ao longo do tempo, o que foge do padrão esperado. Propor uma plataforma que explicite essa sinergia é, ao mesmo tempo, uma resposta a uma demanda real de mercado e uma demonstração de capacidade de abstração arquitetural, relevante para a avaliação acadêmica do trabalho.</w:t>
      </w:r>
    </w:p>
    <w:p>
      <w:pPr>
        <w:pStyle w:val="Heading2"/>
        <w:spacing w:after="160" w:before="320"/>
      </w:pPr>
      <w:r>
        <w:rPr>
          <w:rFonts w:ascii="Calibri" w:cs="Calibri" w:eastAsia="Calibri" w:hAnsi="Calibri"/>
          <w:b/>
          <w:bCs/>
          <w:color w:val="8C1122"/>
          <w:sz w:val="23"/>
          <w:szCs w:val="23"/>
        </w:rPr>
        <w:t xml:space="preserve">3.2 Viabilidade Técnica da Equipe</w:t>
      </w:r>
    </w:p>
    <w:p>
      <w:pPr>
        <w:spacing w:after="200" w:line="300"/>
        <w:jc w:val="both"/>
      </w:pPr>
      <w:r>
        <w:rPr>
          <w:rFonts w:ascii="Calibri" w:cs="Calibri" w:eastAsia="Calibri" w:hAnsi="Calibri"/>
          <w:color w:val="1A1A1A"/>
          <w:sz w:val="21"/>
          <w:szCs w:val="21"/>
        </w:rPr>
        <w:t xml:space="preserve">A equipe já possui experiência anterior relevante em Laravel e Filament, incluindo sistemas com autenticação por papéis, notificações em banco de dados, geração de QR Code e modelagem de máquina de estados (a exemplo dos protótipos acadêmicos GMP — Gestão de Manutenção Predial — e SAFE — Sistema de Autorização e Fluxo Escolar, já desenvolvidos por integrantes do grupo). Essa base técnica reduz a curva de aprendizado nas camadas de cadastro, autenticação e fluxo, permitindo concentrar a maior parte do tempo disponível no diferencial real do projeto: a camada de inteligência artificial aplicada a dados de série temporal.</w:t>
      </w:r>
    </w:p>
    <w:p>
      <w:pPr>
        <w:pStyle w:val="Heading2"/>
        <w:spacing w:after="160" w:before="320"/>
      </w:pPr>
      <w:r>
        <w:rPr>
          <w:rFonts w:ascii="Calibri" w:cs="Calibri" w:eastAsia="Calibri" w:hAnsi="Calibri"/>
          <w:b/>
          <w:bCs/>
          <w:color w:val="8C1122"/>
          <w:sz w:val="23"/>
          <w:szCs w:val="23"/>
        </w:rPr>
        <w:t xml:space="preserve">3.3 Sinergia com a Certificação Microsoft Azure AI</w:t>
      </w:r>
    </w:p>
    <w:p>
      <w:pPr>
        <w:spacing w:after="200" w:line="300"/>
        <w:jc w:val="both"/>
      </w:pPr>
      <w:r>
        <w:rPr>
          <w:rFonts w:ascii="Calibri" w:cs="Calibri" w:eastAsia="Calibri" w:hAnsi="Calibri"/>
          <w:color w:val="1A1A1A"/>
          <w:sz w:val="21"/>
          <w:szCs w:val="21"/>
        </w:rPr>
        <w:t xml:space="preserve">Parte da equipe está em preparação para a certificação Microsoft Azure AI, com estudo direcionado a tópicos como detecção de anomalias, comparação de cenários de síntese de fala e tradução de áudio em serviços de Speech. Esses são, não coincidentemente, os mesmos serviços cogitados para a camada de inteligência artificial do projeto (detecção de anomalias sobre telemetria e sobre padrões de acesso; feedback por voz como recurso de acessibilidade em ambiente industrial). O projeto funciona, portanto, como aplicação prática imediata do conteúdo estudado para a certificação.</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4. Objetivos</w:t>
      </w:r>
    </w:p>
    <w:p>
      <w:pPr>
        <w:pStyle w:val="Heading2"/>
        <w:spacing w:after="160" w:before="320"/>
      </w:pPr>
      <w:r>
        <w:rPr>
          <w:rFonts w:ascii="Calibri" w:cs="Calibri" w:eastAsia="Calibri" w:hAnsi="Calibri"/>
          <w:b/>
          <w:bCs/>
          <w:color w:val="8C1122"/>
          <w:sz w:val="23"/>
          <w:szCs w:val="23"/>
        </w:rPr>
        <w:t xml:space="preserve">4.1 Objetivo Geral</w:t>
      </w:r>
    </w:p>
    <w:p>
      <w:pPr>
        <w:spacing w:after="200" w:line="300"/>
        <w:jc w:val="both"/>
      </w:pPr>
      <w:r>
        <w:rPr>
          <w:rFonts w:ascii="Calibri" w:cs="Calibri" w:eastAsia="Calibri" w:hAnsi="Calibri"/>
          <w:color w:val="1A1A1A"/>
          <w:sz w:val="21"/>
          <w:szCs w:val="21"/>
        </w:rPr>
        <w:t xml:space="preserve">Conceber, projetar e implementar um protótipo funcional de plataforma SaaS modular e multi-tenant que utilize um mecanismo compartilhado de detecção de anomalias para oferecer, em um módulo principal, monitoramento preditivo de ativos industriais a partir de telemetria IoT simulada, e, em um módulo secundário, monitoramento de padrões de acesso e segurança operacional — com interface acessível e qualidade de produto comercial.</w:t>
      </w:r>
    </w:p>
    <w:p>
      <w:pPr>
        <w:pStyle w:val="Heading2"/>
        <w:spacing w:after="160" w:before="320"/>
      </w:pPr>
      <w:r>
        <w:rPr>
          <w:rFonts w:ascii="Calibri" w:cs="Calibri" w:eastAsia="Calibri" w:hAnsi="Calibri"/>
          <w:b/>
          <w:bCs/>
          <w:color w:val="8C1122"/>
          <w:sz w:val="23"/>
          <w:szCs w:val="23"/>
        </w:rPr>
        <w:t xml:space="preserve">4.2 Objetivos Específicos</w:t>
      </w:r>
    </w:p>
    <w:p>
      <w:pPr>
        <w:pStyle w:val="ListParagraph"/>
        <w:numPr>
          <w:ilvl w:val="0"/>
          <w:numId w:val="2"/>
        </w:numPr>
        <w:spacing w:after="110" w:line="290"/>
        <w:jc w:val="both"/>
      </w:pPr>
      <w:r>
        <w:rPr>
          <w:rFonts w:ascii="Calibri" w:cs="Calibri" w:eastAsia="Calibri" w:hAnsi="Calibri"/>
          <w:color w:val="1A1A1A"/>
          <w:sz w:val="21"/>
          <w:szCs w:val="21"/>
        </w:rPr>
        <w:t xml:space="preserve">Levantar e documentar requisitos funcionais e não funcionais junto ao orientador e, posteriormente, junto ao segmento de mercado-alvo a ser definido pela equipe (ver Seção 10).</w:t>
      </w:r>
    </w:p>
    <w:p>
      <w:pPr>
        <w:pStyle w:val="ListParagraph"/>
        <w:numPr>
          <w:ilvl w:val="0"/>
          <w:numId w:val="2"/>
        </w:numPr>
        <w:spacing w:after="110" w:line="290"/>
        <w:jc w:val="both"/>
      </w:pPr>
      <w:r>
        <w:rPr>
          <w:rFonts w:ascii="Calibri" w:cs="Calibri" w:eastAsia="Calibri" w:hAnsi="Calibri"/>
          <w:color w:val="1A1A1A"/>
          <w:sz w:val="21"/>
          <w:szCs w:val="21"/>
        </w:rPr>
        <w:t xml:space="preserve">Projetar uma arquitetura multi-tenant com núcleo compartilhado: autenticação e papéis, trilha de auditoria, notificações e engine de detecção de anomalias reutilizável.</w:t>
      </w:r>
    </w:p>
    <w:p>
      <w:pPr>
        <w:pStyle w:val="ListParagraph"/>
        <w:numPr>
          <w:ilvl w:val="0"/>
          <w:numId w:val="2"/>
        </w:numPr>
        <w:spacing w:after="110" w:line="290"/>
        <w:jc w:val="both"/>
      </w:pPr>
      <w:r>
        <w:rPr>
          <w:rFonts w:ascii="Calibri" w:cs="Calibri" w:eastAsia="Calibri" w:hAnsi="Calibri"/>
          <w:color w:val="1A1A1A"/>
          <w:sz w:val="21"/>
          <w:szCs w:val="21"/>
        </w:rPr>
        <w:t xml:space="preserve">Implementar simulação de telemetria IoT (sensores de vibração, temperatura e corrente) via protocolo MQTT, dispensando dependência de hardware físico nesta fase.</w:t>
      </w:r>
    </w:p>
    <w:p>
      <w:pPr>
        <w:pStyle w:val="ListParagraph"/>
        <w:numPr>
          <w:ilvl w:val="0"/>
          <w:numId w:val="2"/>
        </w:numPr>
        <w:spacing w:after="110" w:line="290"/>
        <w:jc w:val="both"/>
      </w:pPr>
      <w:r>
        <w:rPr>
          <w:rFonts w:ascii="Calibri" w:cs="Calibri" w:eastAsia="Calibri" w:hAnsi="Calibri"/>
          <w:color w:val="1A1A1A"/>
          <w:sz w:val="21"/>
          <w:szCs w:val="21"/>
        </w:rPr>
        <w:t xml:space="preserve">Integrar um serviço de detecção de anomalias (Azure Anomaly Detector ou equivalente) sobre os dados de telemetria simulados.</w:t>
      </w:r>
    </w:p>
    <w:p>
      <w:pPr>
        <w:pStyle w:val="ListParagraph"/>
        <w:numPr>
          <w:ilvl w:val="0"/>
          <w:numId w:val="2"/>
        </w:numPr>
        <w:spacing w:after="110" w:line="290"/>
        <w:jc w:val="both"/>
      </w:pPr>
      <w:r>
        <w:rPr>
          <w:rFonts w:ascii="Calibri" w:cs="Calibri" w:eastAsia="Calibri" w:hAnsi="Calibri"/>
          <w:color w:val="1A1A1A"/>
          <w:sz w:val="21"/>
          <w:szCs w:val="21"/>
        </w:rPr>
        <w:t xml:space="preserve">Desenvolver um copiloto de diagnóstico que sugira causa provável e histórico de ocorrências semelhantes a partir do dado acumulado pelo próprio sistema.</w:t>
      </w:r>
    </w:p>
    <w:p>
      <w:pPr>
        <w:pStyle w:val="ListParagraph"/>
        <w:numPr>
          <w:ilvl w:val="0"/>
          <w:numId w:val="2"/>
        </w:numPr>
        <w:spacing w:after="110" w:line="290"/>
        <w:jc w:val="both"/>
      </w:pPr>
      <w:r>
        <w:rPr>
          <w:rFonts w:ascii="Calibri" w:cs="Calibri" w:eastAsia="Calibri" w:hAnsi="Calibri"/>
          <w:color w:val="1A1A1A"/>
          <w:sz w:val="21"/>
          <w:szCs w:val="21"/>
        </w:rPr>
        <w:t xml:space="preserve">Desenvolver um aplicativo mobile complementar em Flutter, com suporte a operação offline-first para inspeções de campo.</w:t>
      </w:r>
    </w:p>
    <w:p>
      <w:pPr>
        <w:pStyle w:val="ListParagraph"/>
        <w:numPr>
          <w:ilvl w:val="0"/>
          <w:numId w:val="2"/>
        </w:numPr>
        <w:spacing w:after="110" w:line="290"/>
        <w:jc w:val="both"/>
      </w:pPr>
      <w:r>
        <w:rPr>
          <w:rFonts w:ascii="Calibri" w:cs="Calibri" w:eastAsia="Calibri" w:hAnsi="Calibri"/>
          <w:color w:val="1A1A1A"/>
          <w:sz w:val="21"/>
          <w:szCs w:val="21"/>
        </w:rPr>
        <w:t xml:space="preserve">Reaproveitar a engine de detecção de anomalias do núcleo para sinalizar padrões de acesso incomuns no módulo de segurança, condicionado ao andamento do cronograma.</w:t>
      </w:r>
    </w:p>
    <w:p>
      <w:pPr>
        <w:pStyle w:val="ListParagraph"/>
        <w:numPr>
          <w:ilvl w:val="0"/>
          <w:numId w:val="2"/>
        </w:numPr>
        <w:spacing w:after="110" w:line="290"/>
        <w:jc w:val="both"/>
      </w:pPr>
      <w:r>
        <w:rPr>
          <w:rFonts w:ascii="Calibri" w:cs="Calibri" w:eastAsia="Calibri" w:hAnsi="Calibri"/>
          <w:color w:val="1A1A1A"/>
          <w:sz w:val="21"/>
          <w:szCs w:val="21"/>
        </w:rPr>
        <w:t xml:space="preserve">Aplicar diretrizes de acessibilidade (WCAG) e boas práticas de UI/UX voltadas a ambientes industriais — alto contraste, elementos de interface ampliados, feedback sonoro.</w:t>
      </w:r>
    </w:p>
    <w:p>
      <w:pPr>
        <w:pStyle w:val="ListParagraph"/>
        <w:numPr>
          <w:ilvl w:val="0"/>
          <w:numId w:val="2"/>
        </w:numPr>
        <w:spacing w:after="110" w:line="290"/>
        <w:jc w:val="both"/>
      </w:pPr>
      <w:r>
        <w:rPr>
          <w:rFonts w:ascii="Calibri" w:cs="Calibri" w:eastAsia="Calibri" w:hAnsi="Calibri"/>
          <w:color w:val="1A1A1A"/>
          <w:sz w:val="21"/>
          <w:szCs w:val="21"/>
        </w:rPr>
        <w:t xml:space="preserve">Documentar formalmente as decisões de escopo (MVP versus trabalhos futuros), reforçando o caráter de protótipo acadêmico do entregável.</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5. Fundamentação Teórica</w:t>
      </w:r>
    </w:p>
    <w:p>
      <w:pPr>
        <w:pStyle w:val="Heading2"/>
        <w:spacing w:after="160" w:before="320"/>
      </w:pPr>
      <w:r>
        <w:rPr>
          <w:rFonts w:ascii="Calibri" w:cs="Calibri" w:eastAsia="Calibri" w:hAnsi="Calibri"/>
          <w:b/>
          <w:bCs/>
          <w:color w:val="8C1122"/>
          <w:sz w:val="23"/>
          <w:szCs w:val="23"/>
        </w:rPr>
        <w:t xml:space="preserve">5.1 Manutenção Corretiva, Preventiva e Preditiva</w:t>
      </w:r>
    </w:p>
    <w:p>
      <w:pPr>
        <w:spacing w:after="200" w:line="300"/>
        <w:jc w:val="both"/>
      </w:pPr>
      <w:r>
        <w:rPr>
          <w:rFonts w:ascii="Calibri" w:cs="Calibri" w:eastAsia="Calibri" w:hAnsi="Calibri"/>
          <w:color w:val="1A1A1A"/>
          <w:sz w:val="21"/>
          <w:szCs w:val="21"/>
        </w:rPr>
        <w:t xml:space="preserve">A literatura de gestão de manutenção distingue três abordagens: corretiva (o reparo ocorre após a falha), preventiva (o reparo ocorre em intervalos fixos, independentemente da real condição do ativo) e preditiva (o reparo é acionado a partir de indícios reais de degradação, capturados por sensoriamento contínuo). A inteligência artificial é apontada como uma das tendências que mais devem impactar a manufatura e a cadeia produtiva entre 2026 e 2030, reforçando a automação como motor de produtividade nesse tipo de transição (POLIBRAS SOFTWARE, 2025). O projeto se posiciona explicitamente na abordagem preditiva, evolução conceitual de sistemas de manutenção corretiva já desenvolvidos anteriormente pela equipe.</w:t>
      </w:r>
    </w:p>
    <w:p>
      <w:pPr>
        <w:pStyle w:val="Heading2"/>
        <w:spacing w:after="160" w:before="320"/>
      </w:pPr>
      <w:r>
        <w:rPr>
          <w:rFonts w:ascii="Calibri" w:cs="Calibri" w:eastAsia="Calibri" w:hAnsi="Calibri"/>
          <w:b/>
          <w:bCs/>
          <w:color w:val="8C1122"/>
          <w:sz w:val="23"/>
          <w:szCs w:val="23"/>
        </w:rPr>
        <w:t xml:space="preserve">5.2 Big Data e os Três Vs de Laney</w:t>
      </w:r>
    </w:p>
    <w:p>
      <w:pPr>
        <w:spacing w:after="200" w:line="300"/>
        <w:jc w:val="both"/>
      </w:pPr>
      <w:r>
        <w:rPr>
          <w:rFonts w:ascii="Calibri" w:cs="Calibri" w:eastAsia="Calibri" w:hAnsi="Calibri"/>
          <w:color w:val="1A1A1A"/>
          <w:sz w:val="21"/>
          <w:szCs w:val="21"/>
        </w:rPr>
        <w:t xml:space="preserve">A definição clássica de Big Data, formulada por Doug Laney (2001) e posteriormente consolidada pelo Gartner como referência-padrão do mercado, caracteriza o fenômeno por três dimensões: Volume (quantidade de dados gerada), Velocidade (rapidez de geração e necessidade de processamento, incluindo fluxos em tempo real) e Variedade (diversidade de formatos — estruturado, semiestruturado e não estruturado). A telemetria IoT prevista neste projeto apresenta Velocidade real (leituras contínuas em fluxo) e Volume crescente conforme o número de sensores simulados aumenta, mas não apresenta Variedade relevante, uma vez que os dados são estruturados (timestamp, identificador de sensor, valor numérico). Por essa razão, e em coerência com o caráter de protótipo acadêmico do projeto, optou-se conscientemente por um banco de dados relacional (MySQL/MariaDB) com modelagem de série temporal bem indexada, em vez de ferramentas de processamento distribuído (Hadoop, Spark), reservando essa evolução como consideração de escalabilidade para trabalhos futuros.</w:t>
      </w:r>
    </w:p>
    <w:p>
      <w:pPr>
        <w:pStyle w:val="Heading2"/>
        <w:spacing w:after="160" w:before="320"/>
      </w:pPr>
      <w:r>
        <w:rPr>
          <w:rFonts w:ascii="Calibri" w:cs="Calibri" w:eastAsia="Calibri" w:hAnsi="Calibri"/>
          <w:b/>
          <w:bCs/>
          <w:color w:val="8C1122"/>
          <w:sz w:val="23"/>
          <w:szCs w:val="23"/>
        </w:rPr>
        <w:t xml:space="preserve">5.3 Detecção de Anomalias Aplicada a Séries Temporais</w:t>
      </w:r>
    </w:p>
    <w:p>
      <w:pPr>
        <w:spacing w:after="200" w:line="300"/>
        <w:jc w:val="both"/>
      </w:pPr>
      <w:r>
        <w:rPr>
          <w:rFonts w:ascii="Calibri" w:cs="Calibri" w:eastAsia="Calibri" w:hAnsi="Calibri"/>
          <w:color w:val="1A1A1A"/>
          <w:sz w:val="21"/>
          <w:szCs w:val="21"/>
        </w:rPr>
        <w:t xml:space="preserve">Detecção de anomalias é a tarefa de identificar, em uma sequência de valores ao longo do tempo, pontos ou padrões que se desviam significativamente do comportamento esperado. Do ponto de vista matemático, o problema é o mesmo independentemente do domínio de origem do dado: uma leitura de vibração de um motor industrial e um registro de horário/local de acesso de um usuário são, ambos, séries de eventos passíveis do mesmo tratamento estatístico. Essa equivalência é o fundamento da decisão arquitetural central deste projeto — construir uma única engine de detecção de anomalias, reutilizada por dois módulos de domínio distintos, em vez de duas implementações isoladas.</w:t>
      </w:r>
    </w:p>
    <w:p>
      <w:pPr>
        <w:pStyle w:val="Heading2"/>
        <w:spacing w:after="160" w:before="320"/>
      </w:pPr>
      <w:r>
        <w:rPr>
          <w:rFonts w:ascii="Calibri" w:cs="Calibri" w:eastAsia="Calibri" w:hAnsi="Calibri"/>
          <w:b/>
          <w:bCs/>
          <w:color w:val="8C1122"/>
          <w:sz w:val="23"/>
          <w:szCs w:val="23"/>
        </w:rPr>
        <w:t xml:space="preserve">5.4 Arquitetura SaaS Multi-tenant e Modularidade como Vantagem Competitiva</w:t>
      </w:r>
    </w:p>
    <w:p>
      <w:pPr>
        <w:spacing w:after="200" w:line="300"/>
        <w:jc w:val="both"/>
      </w:pPr>
      <w:r>
        <w:rPr>
          <w:rFonts w:ascii="Calibri" w:cs="Calibri" w:eastAsia="Calibri" w:hAnsi="Calibri"/>
          <w:color w:val="1A1A1A"/>
          <w:sz w:val="21"/>
          <w:szCs w:val="21"/>
        </w:rPr>
        <w:t xml:space="preserve">Arquiteturas multi-tenant permitem que uma única instância de software atenda múltiplos clientes (tenants) com isolamento lógico de dados, reduzindo custo operacional por cliente atendido — modelo predominante em produtos SaaS comerciais. A escolha por uma arquitetura modular, com núcleo compartilhado e módulos de domínio acopláveis, dialoga diretamente com o achado de mercado de que a combinação de dados verticais proprietários com fluxos de trabalho críticos ao negócio sustenta vantagem competitiva defensável frente à automação por IA generalista (ACORN apud IT FORUM, 2026).</w:t>
      </w:r>
    </w:p>
    <w:p>
      <w:pPr>
        <w:pStyle w:val="Heading2"/>
        <w:spacing w:after="160" w:before="320"/>
      </w:pPr>
      <w:r>
        <w:rPr>
          <w:rFonts w:ascii="Calibri" w:cs="Calibri" w:eastAsia="Calibri" w:hAnsi="Calibri"/>
          <w:b/>
          <w:bCs/>
          <w:color w:val="8C1122"/>
          <w:sz w:val="23"/>
          <w:szCs w:val="23"/>
        </w:rPr>
        <w:t xml:space="preserve">5.5 Segurança da Informação: Zero Trust, LGPD e Gestão de Identidade e Acesso</w:t>
      </w:r>
    </w:p>
    <w:p>
      <w:pPr>
        <w:spacing w:after="200" w:line="300"/>
        <w:jc w:val="both"/>
      </w:pPr>
      <w:r>
        <w:rPr>
          <w:rFonts w:ascii="Calibri" w:cs="Calibri" w:eastAsia="Calibri" w:hAnsi="Calibri"/>
          <w:color w:val="1A1A1A"/>
          <w:sz w:val="21"/>
          <w:szCs w:val="21"/>
        </w:rPr>
        <w:t xml:space="preserve">O princípio de Zero Trust ("nunca confiar, sempre verificar") pressupõe que nenhum acesso deve ser considerado confiável por padrão, independentemente de sua origem, exigindo verificação contínua. Sua adoção vem se expandindo de grandes corporações para pequenas e médias empresas, impulsionada pela fiscalização da LGPD e por exigências contratuais de segurança impostas por grandes parceiros de negócio a fornecedores menores (STARTI, 2026). Em paralelo, a ANPD intensificou a aplicação de sanções por descumprimento da LGPD, elevando o risco reputacional de exposição de dados a um patamar comparável ao risco financeiro da multa (IMPACTA, 2026). Esses conceitos fundamentam o módulo secundário de segurança e controle de acesso descrito na Seção 7.3, ainda que sua implementação completa (incluindo portal de conformidade LGPD) esteja fora do escopo do MVP, conforme detalhado na Seção 8.</w:t>
      </w:r>
    </w:p>
    <w:p>
      <w:pPr>
        <w:pStyle w:val="Heading2"/>
        <w:spacing w:after="160" w:before="320"/>
      </w:pPr>
      <w:r>
        <w:rPr>
          <w:rFonts w:ascii="Calibri" w:cs="Calibri" w:eastAsia="Calibri" w:hAnsi="Calibri"/>
          <w:b/>
          <w:bCs/>
          <w:color w:val="8C1122"/>
          <w:sz w:val="23"/>
          <w:szCs w:val="23"/>
        </w:rPr>
        <w:t xml:space="preserve">5.6 Inteligência Artificial Aplicada: Serviços Cognitivos do Azure</w:t>
      </w:r>
    </w:p>
    <w:p>
      <w:pPr>
        <w:spacing w:after="200" w:line="300"/>
        <w:jc w:val="both"/>
      </w:pPr>
      <w:r>
        <w:rPr>
          <w:rFonts w:ascii="Calibri" w:cs="Calibri" w:eastAsia="Calibri" w:hAnsi="Calibri"/>
          <w:color w:val="1A1A1A"/>
          <w:sz w:val="21"/>
          <w:szCs w:val="21"/>
        </w:rPr>
        <w:t xml:space="preserve">O projeto prevê o uso de serviços de IA como componente prático da camada de inteligência do sistema, com destaque para o Azure Anomaly Detector (detecção de anomalias sobre séries temporais) e para serviços de Speech (síntese e eventual tradução de áudio), estes últimos cogitados como recurso de acessibilidade para operação em ambiente industrial ruidoso ou com uso de equipamentos de proteção individual. Esses serviços são estudados ativamente por parte da equipe no contexto da certificação Microsoft Azure AI, conforme descrito na Seção 3.3.</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6. Metodologia de Desenvolvimento</w:t>
      </w:r>
    </w:p>
    <w:p>
      <w:pPr>
        <w:pStyle w:val="Heading2"/>
        <w:spacing w:after="160" w:before="320"/>
      </w:pPr>
      <w:r>
        <w:rPr>
          <w:rFonts w:ascii="Calibri" w:cs="Calibri" w:eastAsia="Calibri" w:hAnsi="Calibri"/>
          <w:b/>
          <w:bCs/>
          <w:color w:val="8C1122"/>
          <w:sz w:val="23"/>
          <w:szCs w:val="23"/>
        </w:rPr>
        <w:t xml:space="preserve">6.1 Abordagem de Gestão do Projeto</w:t>
      </w:r>
    </w:p>
    <w:p>
      <w:pPr>
        <w:spacing w:after="200" w:line="300"/>
        <w:jc w:val="both"/>
      </w:pPr>
      <w:r>
        <w:rPr>
          <w:rFonts w:ascii="Calibri" w:cs="Calibri" w:eastAsia="Calibri" w:hAnsi="Calibri"/>
          <w:color w:val="1A1A1A"/>
          <w:sz w:val="21"/>
          <w:szCs w:val="21"/>
        </w:rPr>
        <w:t xml:space="preserve">O desenvolvimento seguirá uma abordagem ágil adaptada, organizada em fases sequenciais com checkpoint de validação ao final de cada uma (detalhadas no cronograma, Seção 9). Cada checkpoint funciona como ponto de decisão: a fase seguinte só avança se a anterior estiver funcionalmente fechada, evitando o acúmulo de dívida técnica silenciosa. Commits de código serão realizados entre as fases, antes de mudanças estruturais relevantes, preservando um histórico de versões recuperável.</w:t>
      </w:r>
    </w:p>
    <w:p>
      <w:pPr>
        <w:spacing w:after="200" w:line="300"/>
        <w:jc w:val="both"/>
      </w:pPr>
      <w:r>
        <w:rPr>
          <w:rFonts w:ascii="Calibri" w:cs="Calibri" w:eastAsia="Calibri" w:hAnsi="Calibri"/>
          <w:color w:val="1A1A1A"/>
          <w:sz w:val="21"/>
          <w:szCs w:val="21"/>
        </w:rPr>
        <w:t xml:space="preserve">Um princípio orientador será mantido de forma explícita ao longo de todo o desenvolvimento: trata-se de um protótipo acadêmico, não de um sistema em produção. Decisões que ampliariam o escopo sem justificativa direta ligada aos objetivos do TCC (autenticação de dois fatores, filas assíncronas, arquitetura de microsserviços, observabilidade não solicitada, entre outras) serão conscientemente adiadas e registradas como trabalho futuro, e não implementadas apenas por rigor técnico teórico.</w:t>
      </w:r>
    </w:p>
    <w:p>
      <w:pPr>
        <w:pStyle w:val="Heading2"/>
        <w:spacing w:after="160" w:before="320"/>
      </w:pPr>
      <w:r>
        <w:rPr>
          <w:rFonts w:ascii="Calibri" w:cs="Calibri" w:eastAsia="Calibri" w:hAnsi="Calibri"/>
          <w:b/>
          <w:bCs/>
          <w:color w:val="8C1122"/>
          <w:sz w:val="23"/>
          <w:szCs w:val="23"/>
        </w:rPr>
        <w:t xml:space="preserve">6.2 Divisão Inicial da Equipe</w:t>
      </w:r>
    </w:p>
    <w:p>
      <w:pPr>
        <w:spacing w:after="200" w:line="300"/>
        <w:jc w:val="both"/>
      </w:pPr>
      <w:r>
        <w:rPr>
          <w:rFonts w:ascii="Calibri" w:cs="Calibri" w:eastAsia="Calibri" w:hAnsi="Calibri"/>
          <w:color w:val="1A1A1A"/>
          <w:sz w:val="21"/>
          <w:szCs w:val="21"/>
        </w:rPr>
        <w:t xml:space="preserve">A divisão de papéis abaixo é uma proposta de ponto de partida, a ser ajustada pela equipe conforme afinidade técnica de cada integrante, em reunião a ser realizada após a validação deste anteprojeto: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6"/>
        <w:gridCol w:w="2645"/>
        <w:gridCol w:w="3968"/>
      </w:tblGrid>
      <w:tr>
        <w:trPr>
          <w:tblHeader/>
        </w:trPr>
        <w:tc>
          <w:tcPr>
            <w:tcW w:type="dxa" w:w="2456"/>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Integrante</w:t>
            </w:r>
          </w:p>
        </w:tc>
        <w:tc>
          <w:tcPr>
            <w:tcW w:type="dxa" w:w="2645"/>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Frente Proposta</w:t>
            </w:r>
          </w:p>
        </w:tc>
        <w:tc>
          <w:tcPr>
            <w:tcW w:type="dxa" w:w="3968"/>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Foco Principal</w:t>
            </w:r>
          </w:p>
        </w:tc>
      </w:tr>
      <w:tr>
        <w:tc>
          <w:tcPr>
            <w:tcW w:type="dxa" w:w="245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Lucas Terminiello</w:t>
            </w:r>
          </w:p>
        </w:tc>
        <w:tc>
          <w:tcPr>
            <w:tcW w:type="dxa" w:w="264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Arquitetura e Núcleo Backend</w:t>
            </w:r>
          </w:p>
        </w:tc>
        <w:tc>
          <w:tcPr>
            <w:tcW w:type="dxa" w:w="396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Multi-tenant, engine de detecção de anomalias, integração Laravel/Filament</w:t>
            </w:r>
          </w:p>
        </w:tc>
      </w:tr>
      <w:tr>
        <w:tc>
          <w:tcPr>
            <w:tcW w:type="dxa" w:w="2456"/>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Matheus Malaman</w:t>
            </w:r>
          </w:p>
        </w:tc>
        <w:tc>
          <w:tcPr>
            <w:tcW w:type="dxa" w:w="264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Módulo de Telemetria e IA</w:t>
            </w:r>
          </w:p>
        </w:tc>
        <w:tc>
          <w:tcPr>
            <w:tcW w:type="dxa" w:w="3968"/>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Simulação IoT (MQTT/Node-RED), integração com serviço de detecção de anomalias</w:t>
            </w:r>
          </w:p>
        </w:tc>
      </w:tr>
      <w:tr>
        <w:tc>
          <w:tcPr>
            <w:tcW w:type="dxa" w:w="245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Jefferson Bruno C. Miguel</w:t>
            </w:r>
          </w:p>
        </w:tc>
        <w:tc>
          <w:tcPr>
            <w:tcW w:type="dxa" w:w="264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Aplicativo Mobile</w:t>
            </w:r>
          </w:p>
        </w:tc>
        <w:tc>
          <w:tcPr>
            <w:tcW w:type="dxa" w:w="3968"/>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Desenvolvimento Flutter, sincronização offline-first</w:t>
            </w:r>
          </w:p>
        </w:tc>
      </w:tr>
      <w:tr>
        <w:tc>
          <w:tcPr>
            <w:tcW w:type="dxa" w:w="2456"/>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Julio</w:t>
            </w:r>
          </w:p>
        </w:tc>
        <w:tc>
          <w:tcPr>
            <w:tcW w:type="dxa" w:w="264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Documentação, UI/UX e Módulo Secundário</w:t>
            </w:r>
          </w:p>
        </w:tc>
        <w:tc>
          <w:tcPr>
            <w:tcW w:type="dxa" w:w="3968"/>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Acessibilidade, identidade visual, módulo de segurança/acesso</w:t>
            </w:r>
          </w:p>
        </w:tc>
      </w:tr>
    </w:tbl>
    <w:p>
      <w:pPr>
        <w:pStyle w:val="Heading2"/>
        <w:spacing w:after="160" w:before="320"/>
      </w:pPr>
      <w:r>
        <w:rPr>
          <w:rFonts w:ascii="Calibri" w:cs="Calibri" w:eastAsia="Calibri" w:hAnsi="Calibri"/>
          <w:b/>
          <w:bCs/>
          <w:color w:val="8C1122"/>
          <w:sz w:val="23"/>
          <w:szCs w:val="23"/>
        </w:rPr>
        <w:t xml:space="preserve">6.3 Stack Tecnológica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25"/>
        <w:gridCol w:w="5845"/>
      </w:tblGrid>
      <w:tr>
        <w:trPr>
          <w:tblHeader/>
        </w:trPr>
        <w:tc>
          <w:tcPr>
            <w:tcW w:type="dxa" w:w="3225"/>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Camada</w:t>
            </w:r>
          </w:p>
        </w:tc>
        <w:tc>
          <w:tcPr>
            <w:tcW w:type="dxa" w:w="5845"/>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Tecnologia</w:t>
            </w:r>
          </w:p>
        </w:tc>
      </w:tr>
      <w:tr>
        <w:tc>
          <w:tcPr>
            <w:tcW w:type="dxa" w:w="322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Backend</w:t>
            </w:r>
          </w:p>
        </w:tc>
        <w:tc>
          <w:tcPr>
            <w:tcW w:type="dxa" w:w="584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Laravel 12 + Filament 3.3</w:t>
            </w:r>
          </w:p>
        </w:tc>
      </w:tr>
      <w:tr>
        <w:tc>
          <w:tcPr>
            <w:tcW w:type="dxa" w:w="322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Banco de Dados</w:t>
            </w:r>
          </w:p>
        </w:tc>
        <w:tc>
          <w:tcPr>
            <w:tcW w:type="dxa" w:w="584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MySQL / MariaDB (Laragon em ambiente de desenvolvimento)</w:t>
            </w:r>
          </w:p>
        </w:tc>
      </w:tr>
      <w:tr>
        <w:tc>
          <w:tcPr>
            <w:tcW w:type="dxa" w:w="322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Simulação IoT</w:t>
            </w:r>
          </w:p>
        </w:tc>
        <w:tc>
          <w:tcPr>
            <w:tcW w:type="dxa" w:w="584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MQTT + Node-RED / Wokwi (sem dependência de hardware físico)</w:t>
            </w:r>
          </w:p>
        </w:tc>
      </w:tr>
      <w:tr>
        <w:tc>
          <w:tcPr>
            <w:tcW w:type="dxa" w:w="322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Inteligência Artificial</w:t>
            </w:r>
          </w:p>
        </w:tc>
        <w:tc>
          <w:tcPr>
            <w:tcW w:type="dxa" w:w="584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Azure AI — Anomaly Detector e Speech</w:t>
            </w:r>
          </w:p>
        </w:tc>
      </w:tr>
      <w:tr>
        <w:tc>
          <w:tcPr>
            <w:tcW w:type="dxa" w:w="322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Aplicativo Mobile</w:t>
            </w:r>
          </w:p>
        </w:tc>
        <w:tc>
          <w:tcPr>
            <w:tcW w:type="dxa" w:w="584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Flutter, com armazenamento local SQLite (offline-first)</w:t>
            </w:r>
          </w:p>
        </w:tc>
      </w:tr>
      <w:tr>
        <w:tc>
          <w:tcPr>
            <w:tcW w:type="dxa" w:w="322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Frontend Web complementar</w:t>
            </w:r>
          </w:p>
        </w:tc>
        <w:tc>
          <w:tcPr>
            <w:tcW w:type="dxa" w:w="584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Blade + Tailwind CSS</w:t>
            </w:r>
          </w:p>
        </w:tc>
      </w:tr>
      <w:tr>
        <w:tc>
          <w:tcPr>
            <w:tcW w:type="dxa" w:w="322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Controle de Versão</w:t>
            </w:r>
          </w:p>
        </w:tc>
        <w:tc>
          <w:tcPr>
            <w:tcW w:type="dxa" w:w="584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Git / GitHub</w:t>
            </w:r>
          </w:p>
        </w:tc>
      </w:tr>
      <w:tr>
        <w:tc>
          <w:tcPr>
            <w:tcW w:type="dxa" w:w="322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Ambiente de Desenvolvimento</w:t>
            </w:r>
          </w:p>
        </w:tc>
        <w:tc>
          <w:tcPr>
            <w:tcW w:type="dxa" w:w="584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VS Code com extensão Claude Code</w:t>
            </w:r>
          </w:p>
        </w:tc>
      </w:tr>
    </w:tbl>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7. Arquitetura Proposta</w:t>
      </w:r>
    </w:p>
    <w:p>
      <w:pPr>
        <w:spacing w:after="200" w:line="300"/>
        <w:jc w:val="both"/>
      </w:pPr>
      <w:r>
        <w:rPr>
          <w:rFonts w:ascii="Calibri" w:cs="Calibri" w:eastAsia="Calibri" w:hAnsi="Calibri"/>
          <w:color w:val="1A1A1A"/>
          <w:sz w:val="21"/>
          <w:szCs w:val="21"/>
        </w:rPr>
        <w:t xml:space="preserve">A plataforma é organizada em camadas concêntricas: um núcleo compartilhado por todos os módulos, um módulo principal (flagship) totalmente implementado, um módulo secundário que reaproveita o núcleo, e um conjunto de funcionalidades documentadas como trabalho futuro, mas não implementadas nesta fase.</w:t>
      </w:r>
    </w:p>
    <w:p>
      <w:pPr>
        <w:pStyle w:val="Heading2"/>
        <w:spacing w:after="160" w:before="320"/>
      </w:pPr>
      <w:r>
        <w:rPr>
          <w:rFonts w:ascii="Calibri" w:cs="Calibri" w:eastAsia="Calibri" w:hAnsi="Calibri"/>
          <w:b/>
          <w:bCs/>
          <w:color w:val="8C1122"/>
          <w:sz w:val="23"/>
          <w:szCs w:val="23"/>
        </w:rPr>
        <w:t xml:space="preserve">7.1 Núcleo Compartilhado</w:t>
      </w:r>
    </w:p>
    <w:p>
      <w:pPr>
        <w:spacing w:after="200" w:line="300"/>
        <w:jc w:val="both"/>
      </w:pPr>
      <w:r>
        <w:rPr>
          <w:rFonts w:ascii="Calibri" w:cs="Calibri" w:eastAsia="Calibri" w:hAnsi="Calibri"/>
          <w:color w:val="1A1A1A"/>
          <w:sz w:val="21"/>
          <w:szCs w:val="21"/>
        </w:rPr>
        <w:t xml:space="preserve">Componente central da plataforma, independente de domínio de aplicação:</w:t>
      </w:r>
    </w:p>
    <w:p>
      <w:pPr>
        <w:pStyle w:val="ListParagraph"/>
        <w:numPr>
          <w:ilvl w:val="0"/>
          <w:numId w:val="2"/>
        </w:numPr>
        <w:spacing w:after="110" w:line="290"/>
        <w:jc w:val="both"/>
      </w:pPr>
      <w:r>
        <w:rPr>
          <w:rFonts w:ascii="Calibri" w:cs="Calibri" w:eastAsia="Calibri" w:hAnsi="Calibri"/>
          <w:color w:val="1A1A1A"/>
          <w:sz w:val="21"/>
          <w:szCs w:val="21"/>
        </w:rPr>
        <w:t xml:space="preserve">Estrutura multi-tenant (isolamento lógico de dados por empresa cliente).</w:t>
      </w:r>
    </w:p>
    <w:p>
      <w:pPr>
        <w:pStyle w:val="ListParagraph"/>
        <w:numPr>
          <w:ilvl w:val="0"/>
          <w:numId w:val="2"/>
        </w:numPr>
        <w:spacing w:after="110" w:line="290"/>
        <w:jc w:val="both"/>
      </w:pPr>
      <w:r>
        <w:rPr>
          <w:rFonts w:ascii="Calibri" w:cs="Calibri" w:eastAsia="Calibri" w:hAnsi="Calibri"/>
          <w:color w:val="1A1A1A"/>
          <w:sz w:val="21"/>
          <w:szCs w:val="21"/>
        </w:rPr>
        <w:t xml:space="preserve">Autenticação, papéis e permissões de usuário.</w:t>
      </w:r>
    </w:p>
    <w:p>
      <w:pPr>
        <w:pStyle w:val="ListParagraph"/>
        <w:numPr>
          <w:ilvl w:val="0"/>
          <w:numId w:val="2"/>
        </w:numPr>
        <w:spacing w:after="110" w:line="290"/>
        <w:jc w:val="both"/>
      </w:pPr>
      <w:r>
        <w:rPr>
          <w:rFonts w:ascii="Calibri" w:cs="Calibri" w:eastAsia="Calibri" w:hAnsi="Calibri"/>
          <w:color w:val="1A1A1A"/>
          <w:sz w:val="21"/>
          <w:szCs w:val="21"/>
        </w:rPr>
        <w:t xml:space="preserve">Engine de detecção de anomalias genérica — recebe qualquer série temporal de eventos (sensor ou acesso) e retorna pontos fora do padrão esperado.</w:t>
      </w:r>
    </w:p>
    <w:p>
      <w:pPr>
        <w:pStyle w:val="ListParagraph"/>
        <w:numPr>
          <w:ilvl w:val="0"/>
          <w:numId w:val="2"/>
        </w:numPr>
        <w:spacing w:after="110" w:line="290"/>
        <w:jc w:val="both"/>
      </w:pPr>
      <w:r>
        <w:rPr>
          <w:rFonts w:ascii="Calibri" w:cs="Calibri" w:eastAsia="Calibri" w:hAnsi="Calibri"/>
          <w:color w:val="1A1A1A"/>
          <w:sz w:val="21"/>
          <w:szCs w:val="21"/>
        </w:rPr>
        <w:t xml:space="preserve">Trilha de auditoria (registro de eventos relevantes do sistema).</w:t>
      </w:r>
    </w:p>
    <w:p>
      <w:pPr>
        <w:pStyle w:val="ListParagraph"/>
        <w:numPr>
          <w:ilvl w:val="0"/>
          <w:numId w:val="2"/>
        </w:numPr>
        <w:spacing w:after="110" w:line="290"/>
        <w:jc w:val="both"/>
      </w:pPr>
      <w:r>
        <w:rPr>
          <w:rFonts w:ascii="Calibri" w:cs="Calibri" w:eastAsia="Calibri" w:hAnsi="Calibri"/>
          <w:color w:val="1A1A1A"/>
          <w:sz w:val="21"/>
          <w:szCs w:val="21"/>
        </w:rPr>
        <w:t xml:space="preserve">Serviço de notificações (e-mail e, eventualmente, push).</w:t>
      </w:r>
    </w:p>
    <w:p>
      <w:pPr>
        <w:pStyle w:val="Heading2"/>
        <w:spacing w:after="160" w:before="320"/>
      </w:pPr>
      <w:r>
        <w:rPr>
          <w:rFonts w:ascii="Calibri" w:cs="Calibri" w:eastAsia="Calibri" w:hAnsi="Calibri"/>
          <w:b/>
          <w:bCs/>
          <w:color w:val="8C1122"/>
          <w:sz w:val="23"/>
          <w:szCs w:val="23"/>
        </w:rPr>
        <w:t xml:space="preserve">7.2 Módulo Flagship: Manutenção Preditiva</w:t>
      </w:r>
    </w:p>
    <w:p>
      <w:pPr>
        <w:spacing w:after="200" w:line="300"/>
        <w:jc w:val="both"/>
      </w:pPr>
      <w:r>
        <w:rPr>
          <w:rFonts w:ascii="Calibri" w:cs="Calibri" w:eastAsia="Calibri" w:hAnsi="Calibri"/>
          <w:color w:val="1A1A1A"/>
          <w:sz w:val="21"/>
          <w:szCs w:val="21"/>
        </w:rPr>
        <w:t xml:space="preserve">Módulo principal do projeto, com implementação completa prevista dentro do MVP:</w:t>
      </w:r>
    </w:p>
    <w:p>
      <w:pPr>
        <w:pStyle w:val="ListParagraph"/>
        <w:numPr>
          <w:ilvl w:val="0"/>
          <w:numId w:val="2"/>
        </w:numPr>
        <w:spacing w:after="110" w:line="290"/>
        <w:jc w:val="both"/>
      </w:pPr>
      <w:r>
        <w:rPr>
          <w:rFonts w:ascii="Calibri" w:cs="Calibri" w:eastAsia="Calibri" w:hAnsi="Calibri"/>
          <w:color w:val="1A1A1A"/>
          <w:sz w:val="21"/>
          <w:szCs w:val="21"/>
        </w:rPr>
        <w:t xml:space="preserve">Ingestão de telemetria IoT simulada (vibração, temperatura, corrente) via MQTT.</w:t>
      </w:r>
    </w:p>
    <w:p>
      <w:pPr>
        <w:pStyle w:val="ListParagraph"/>
        <w:numPr>
          <w:ilvl w:val="0"/>
          <w:numId w:val="2"/>
        </w:numPr>
        <w:spacing w:after="110" w:line="290"/>
        <w:jc w:val="both"/>
      </w:pPr>
      <w:r>
        <w:rPr>
          <w:rFonts w:ascii="Calibri" w:cs="Calibri" w:eastAsia="Calibri" w:hAnsi="Calibri"/>
          <w:color w:val="1A1A1A"/>
          <w:sz w:val="21"/>
          <w:szCs w:val="21"/>
        </w:rPr>
        <w:t xml:space="preserve">Aplicação da engine de anomalia sobre os dados de telemetria para sinalizar desvios.</w:t>
      </w:r>
    </w:p>
    <w:p>
      <w:pPr>
        <w:pStyle w:val="ListParagraph"/>
        <w:numPr>
          <w:ilvl w:val="0"/>
          <w:numId w:val="2"/>
        </w:numPr>
        <w:spacing w:after="110" w:line="290"/>
        <w:jc w:val="both"/>
      </w:pPr>
      <w:r>
        <w:rPr>
          <w:rFonts w:ascii="Calibri" w:cs="Calibri" w:eastAsia="Calibri" w:hAnsi="Calibri"/>
          <w:color w:val="1A1A1A"/>
          <w:sz w:val="21"/>
          <w:szCs w:val="21"/>
        </w:rPr>
        <w:t xml:space="preserve">Copiloto de diagnóstico: sugestão de causa provável a partir de ocorrências históricas semelhantes.</w:t>
      </w:r>
    </w:p>
    <w:p>
      <w:pPr>
        <w:pStyle w:val="ListParagraph"/>
        <w:numPr>
          <w:ilvl w:val="0"/>
          <w:numId w:val="2"/>
        </w:numPr>
        <w:spacing w:after="110" w:line="290"/>
        <w:jc w:val="both"/>
      </w:pPr>
      <w:r>
        <w:rPr>
          <w:rFonts w:ascii="Calibri" w:cs="Calibri" w:eastAsia="Calibri" w:hAnsi="Calibri"/>
          <w:color w:val="1A1A1A"/>
          <w:sz w:val="21"/>
          <w:szCs w:val="21"/>
        </w:rPr>
        <w:t xml:space="preserve">Dashboard de indicadores (leituras recentes, alertas ativos, histórico por ativo).</w:t>
      </w:r>
    </w:p>
    <w:p>
      <w:pPr>
        <w:pStyle w:val="ListParagraph"/>
        <w:numPr>
          <w:ilvl w:val="0"/>
          <w:numId w:val="2"/>
        </w:numPr>
        <w:spacing w:after="110" w:line="290"/>
        <w:jc w:val="both"/>
      </w:pPr>
      <w:r>
        <w:rPr>
          <w:rFonts w:ascii="Calibri" w:cs="Calibri" w:eastAsia="Calibri" w:hAnsi="Calibri"/>
          <w:color w:val="1A1A1A"/>
          <w:sz w:val="21"/>
          <w:szCs w:val="21"/>
        </w:rPr>
        <w:t xml:space="preserve">Aplicativo Flutter complementar para inspeção de campo, com sincronização offline-first.</w:t>
      </w:r>
    </w:p>
    <w:p>
      <w:pPr>
        <w:pStyle w:val="Heading2"/>
        <w:spacing w:after="160" w:before="320"/>
      </w:pPr>
      <w:r>
        <w:rPr>
          <w:rFonts w:ascii="Calibri" w:cs="Calibri" w:eastAsia="Calibri" w:hAnsi="Calibri"/>
          <w:b/>
          <w:bCs/>
          <w:color w:val="8C1122"/>
          <w:sz w:val="23"/>
          <w:szCs w:val="23"/>
        </w:rPr>
        <w:t xml:space="preserve">7.3 Módulo Secundário: Segurança e Controle de Acesso</w:t>
      </w:r>
    </w:p>
    <w:p>
      <w:pPr>
        <w:spacing w:after="200" w:line="300"/>
        <w:jc w:val="both"/>
      </w:pPr>
      <w:r>
        <w:rPr>
          <w:rFonts w:ascii="Calibri" w:cs="Calibri" w:eastAsia="Calibri" w:hAnsi="Calibri"/>
          <w:color w:val="1A1A1A"/>
          <w:sz w:val="21"/>
          <w:szCs w:val="21"/>
        </w:rPr>
        <w:t xml:space="preserve">Módulo que reaproveita a mesma engine de anomalia do núcleo, aplicada a um domínio distinto — implementação condicionada ao avanço do cronograma (ver Seção 8):</w:t>
      </w:r>
    </w:p>
    <w:p>
      <w:pPr>
        <w:pStyle w:val="ListParagraph"/>
        <w:numPr>
          <w:ilvl w:val="0"/>
          <w:numId w:val="2"/>
        </w:numPr>
        <w:spacing w:after="110" w:line="290"/>
        <w:jc w:val="both"/>
      </w:pPr>
      <w:r>
        <w:rPr>
          <w:rFonts w:ascii="Calibri" w:cs="Calibri" w:eastAsia="Calibri" w:hAnsi="Calibri"/>
          <w:color w:val="1A1A1A"/>
          <w:sz w:val="21"/>
          <w:szCs w:val="21"/>
        </w:rPr>
        <w:t xml:space="preserve">Aplicação da engine de anomalia sobre padrões de acesso (horário, localização, frequência de tentativas).</w:t>
      </w:r>
    </w:p>
    <w:p>
      <w:pPr>
        <w:pStyle w:val="ListParagraph"/>
        <w:numPr>
          <w:ilvl w:val="0"/>
          <w:numId w:val="2"/>
        </w:numPr>
        <w:spacing w:after="110" w:line="290"/>
        <w:jc w:val="both"/>
      </w:pPr>
      <w:r>
        <w:rPr>
          <w:rFonts w:ascii="Calibri" w:cs="Calibri" w:eastAsia="Calibri" w:hAnsi="Calibri"/>
          <w:color w:val="1A1A1A"/>
          <w:sz w:val="21"/>
          <w:szCs w:val="21"/>
        </w:rPr>
        <w:t xml:space="preserve">Painel de controle de acesso por tenant, alinhado ao princípio de menor privilégio.</w:t>
      </w:r>
    </w:p>
    <w:p>
      <w:pPr>
        <w:pStyle w:val="ListParagraph"/>
        <w:numPr>
          <w:ilvl w:val="0"/>
          <w:numId w:val="2"/>
        </w:numPr>
        <w:spacing w:after="110" w:line="290"/>
        <w:jc w:val="both"/>
      </w:pPr>
      <w:r>
        <w:rPr>
          <w:rFonts w:ascii="Calibri" w:cs="Calibri" w:eastAsia="Calibri" w:hAnsi="Calibri"/>
          <w:color w:val="1A1A1A"/>
          <w:sz w:val="21"/>
          <w:szCs w:val="21"/>
        </w:rPr>
        <w:t xml:space="preserve">Trilha de auditoria de acessos, reaproveitando o componente do núcleo.</w:t>
      </w:r>
    </w:p>
    <w:p>
      <w:pPr>
        <w:pStyle w:val="Heading2"/>
        <w:spacing w:after="160" w:before="320"/>
      </w:pPr>
      <w:r>
        <w:rPr>
          <w:rFonts w:ascii="Calibri" w:cs="Calibri" w:eastAsia="Calibri" w:hAnsi="Calibri"/>
          <w:b/>
          <w:bCs/>
          <w:color w:val="8C1122"/>
          <w:sz w:val="23"/>
          <w:szCs w:val="23"/>
        </w:rPr>
        <w:t xml:space="preserve">7.4 Roadmap Futuro (fora do escopo de implementação do TCC)</w:t>
      </w:r>
    </w:p>
    <w:p>
      <w:pPr>
        <w:spacing w:after="200" w:line="300"/>
        <w:jc w:val="both"/>
      </w:pPr>
      <w:r>
        <w:rPr>
          <w:rFonts w:ascii="Calibri" w:cs="Calibri" w:eastAsia="Calibri" w:hAnsi="Calibri"/>
          <w:color w:val="1A1A1A"/>
          <w:sz w:val="21"/>
          <w:szCs w:val="21"/>
        </w:rPr>
        <w:t xml:space="preserve">Itens documentados na monografia como extensão natural da arquitetura, sem implementação de código nesta fase:</w:t>
      </w:r>
    </w:p>
    <w:p>
      <w:pPr>
        <w:pStyle w:val="ListParagraph"/>
        <w:numPr>
          <w:ilvl w:val="0"/>
          <w:numId w:val="2"/>
        </w:numPr>
        <w:spacing w:after="110" w:line="290"/>
        <w:jc w:val="both"/>
      </w:pPr>
      <w:r>
        <w:rPr>
          <w:rFonts w:ascii="Calibri" w:cs="Calibri" w:eastAsia="Calibri" w:hAnsi="Calibri"/>
          <w:color w:val="1A1A1A"/>
          <w:sz w:val="21"/>
          <w:szCs w:val="21"/>
        </w:rPr>
        <w:t xml:space="preserve">Portal de conformidade LGPD (mapeamento de dados pessoais, atendimento a solicitações de titular).</w:t>
      </w:r>
    </w:p>
    <w:p>
      <w:pPr>
        <w:pStyle w:val="ListParagraph"/>
        <w:numPr>
          <w:ilvl w:val="0"/>
          <w:numId w:val="2"/>
        </w:numPr>
        <w:spacing w:after="110" w:line="290"/>
        <w:jc w:val="both"/>
      </w:pPr>
      <w:r>
        <w:rPr>
          <w:rFonts w:ascii="Calibri" w:cs="Calibri" w:eastAsia="Calibri" w:hAnsi="Calibri"/>
          <w:color w:val="1A1A1A"/>
          <w:sz w:val="21"/>
          <w:szCs w:val="21"/>
        </w:rPr>
        <w:t xml:space="preserve">Plataforma de conscientização e simulação de phishing.</w:t>
      </w:r>
    </w:p>
    <w:p>
      <w:pPr>
        <w:pStyle w:val="ListParagraph"/>
        <w:numPr>
          <w:ilvl w:val="0"/>
          <w:numId w:val="2"/>
        </w:numPr>
        <w:spacing w:after="110" w:line="290"/>
        <w:jc w:val="both"/>
      </w:pPr>
      <w:r>
        <w:rPr>
          <w:rFonts w:ascii="Calibri" w:cs="Calibri" w:eastAsia="Calibri" w:hAnsi="Calibri"/>
          <w:color w:val="1A1A1A"/>
          <w:sz w:val="21"/>
          <w:szCs w:val="21"/>
        </w:rPr>
        <w:t xml:space="preserve">Substituição da simulação IoT por sensoriamento físico real (ESP32 e sensores dedicados).</w:t>
      </w:r>
    </w:p>
    <w:p>
      <w:pPr>
        <w:pStyle w:val="ListParagraph"/>
        <w:numPr>
          <w:ilvl w:val="0"/>
          <w:numId w:val="2"/>
        </w:numPr>
        <w:spacing w:after="110" w:line="290"/>
        <w:jc w:val="both"/>
      </w:pPr>
      <w:r>
        <w:rPr>
          <w:rFonts w:ascii="Calibri" w:cs="Calibri" w:eastAsia="Calibri" w:hAnsi="Calibri"/>
          <w:color w:val="1A1A1A"/>
          <w:sz w:val="21"/>
          <w:szCs w:val="21"/>
        </w:rPr>
        <w:t xml:space="preserve">Expansão para múltiplos segmentos de mercado além do escolhido para a validação do MVP.</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8. Escopo do Projeto: MVP versus Roadmap</w:t>
      </w:r>
    </w:p>
    <w:p>
      <w:pPr>
        <w:spacing w:after="200" w:line="300"/>
        <w:jc w:val="both"/>
      </w:pPr>
      <w:r>
        <w:rPr>
          <w:rFonts w:ascii="Calibri" w:cs="Calibri" w:eastAsia="Calibri" w:hAnsi="Calibri"/>
          <w:color w:val="1A1A1A"/>
          <w:sz w:val="21"/>
          <w:szCs w:val="21"/>
        </w:rPr>
        <w:t xml:space="preserve">A tabela a seguir formaliza, para consulta do orientador e da banca, a fronteira entre o que será efetivamente implementado e demonstrado (MVP), o que será implementado apenas se o cronograma permitir, e o que permanece como argumento documentado de extensibilidade da arquitetura.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56"/>
        <w:gridCol w:w="4346"/>
        <w:gridCol w:w="2267"/>
      </w:tblGrid>
      <w:tr>
        <w:trPr>
          <w:tblHeader/>
        </w:trPr>
        <w:tc>
          <w:tcPr>
            <w:tcW w:type="dxa" w:w="2456"/>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Camada</w:t>
            </w:r>
          </w:p>
        </w:tc>
        <w:tc>
          <w:tcPr>
            <w:tcW w:type="dxa" w:w="4346"/>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Descrição</w:t>
            </w:r>
          </w:p>
        </w:tc>
        <w:tc>
          <w:tcPr>
            <w:tcW w:type="dxa" w:w="2267"/>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Status</w:t>
            </w:r>
          </w:p>
        </w:tc>
      </w:tr>
      <w:tr>
        <w:tc>
          <w:tcPr>
            <w:tcW w:type="dxa" w:w="245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Núcleo compartilhado</w:t>
            </w:r>
          </w:p>
        </w:tc>
        <w:tc>
          <w:tcPr>
            <w:tcW w:type="dxa" w:w="434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Multi-tenant, autenticação/papéis, engine de anomalia genérica, auditoria, notificações</w:t>
            </w:r>
          </w:p>
        </w:tc>
        <w:tc>
          <w:tcPr>
            <w:tcW w:type="dxa" w:w="2267"/>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MVP — obrigatório</w:t>
            </w:r>
          </w:p>
        </w:tc>
      </w:tr>
      <w:tr>
        <w:tc>
          <w:tcPr>
            <w:tcW w:type="dxa" w:w="2456"/>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Módulo de Manutenção Preditiva</w:t>
            </w:r>
          </w:p>
        </w:tc>
        <w:tc>
          <w:tcPr>
            <w:tcW w:type="dxa" w:w="4346"/>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Telemetria simulada, copiloto de diagnóstico, dashboard, app Flutter offline-first</w:t>
            </w:r>
          </w:p>
        </w:tc>
        <w:tc>
          <w:tcPr>
            <w:tcW w:type="dxa" w:w="2267"/>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MVP — obrigatório</w:t>
            </w:r>
          </w:p>
        </w:tc>
      </w:tr>
      <w:tr>
        <w:tc>
          <w:tcPr>
            <w:tcW w:type="dxa" w:w="245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Módulo de Segurança/Acesso</w:t>
            </w:r>
          </w:p>
        </w:tc>
        <w:tc>
          <w:tcPr>
            <w:tcW w:type="dxa" w:w="434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Reaproveitamento da engine de anomalia para padrões de acesso</w:t>
            </w:r>
          </w:p>
        </w:tc>
        <w:tc>
          <w:tcPr>
            <w:tcW w:type="dxa" w:w="2267"/>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Estica — se o MVP for concluído no prazo</w:t>
            </w:r>
          </w:p>
        </w:tc>
      </w:tr>
      <w:tr>
        <w:tc>
          <w:tcPr>
            <w:tcW w:type="dxa" w:w="2456"/>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Portal de conformidade LGPD</w:t>
            </w:r>
          </w:p>
        </w:tc>
        <w:tc>
          <w:tcPr>
            <w:tcW w:type="dxa" w:w="4346"/>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Mapeamento de dados pessoais, atendimento a titulares</w:t>
            </w:r>
          </w:p>
        </w:tc>
        <w:tc>
          <w:tcPr>
            <w:tcW w:type="dxa" w:w="2267"/>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Roadmap — não implementado</w:t>
            </w:r>
          </w:p>
        </w:tc>
      </w:tr>
      <w:tr>
        <w:tc>
          <w:tcPr>
            <w:tcW w:type="dxa" w:w="245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Simulação de phishing</w:t>
            </w:r>
          </w:p>
        </w:tc>
        <w:tc>
          <w:tcPr>
            <w:tcW w:type="dxa" w:w="4346"/>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Campanhas simuladas e score de risco por colaborador</w:t>
            </w:r>
          </w:p>
        </w:tc>
        <w:tc>
          <w:tcPr>
            <w:tcW w:type="dxa" w:w="2267"/>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Roadmap — não implementado</w:t>
            </w:r>
          </w:p>
        </w:tc>
      </w:tr>
      <w:tr>
        <w:tc>
          <w:tcPr>
            <w:tcW w:type="dxa" w:w="2456"/>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Hardware IoT real</w:t>
            </w:r>
          </w:p>
        </w:tc>
        <w:tc>
          <w:tcPr>
            <w:tcW w:type="dxa" w:w="4346"/>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Substituição da simulação por sensores físicos</w:t>
            </w:r>
          </w:p>
        </w:tc>
        <w:tc>
          <w:tcPr>
            <w:tcW w:type="dxa" w:w="2267"/>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Roadmap — não implementado</w:t>
            </w:r>
          </w:p>
        </w:tc>
      </w:tr>
    </w:tbl>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9. Cronograma</w:t>
      </w:r>
    </w:p>
    <w:p>
      <w:pPr>
        <w:spacing w:after="200" w:line="300"/>
        <w:jc w:val="both"/>
      </w:pPr>
      <w:r>
        <w:rPr>
          <w:rFonts w:ascii="Calibri" w:cs="Calibri" w:eastAsia="Calibri" w:hAnsi="Calibri"/>
          <w:color w:val="1A1A1A"/>
          <w:sz w:val="21"/>
          <w:szCs w:val="21"/>
        </w:rPr>
        <w:t xml:space="preserve">Prazo total disponível: de 6 de agosto a fim de novembro/meados de dezembro de 2026 (aproximadamente 16 semanas), distribuído em seis fases com checkpoint de validação entre cada uma.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95"/>
        <w:gridCol w:w="3084"/>
        <w:gridCol w:w="3991"/>
      </w:tblGrid>
      <w:tr>
        <w:trPr>
          <w:tblHeader/>
        </w:trPr>
        <w:tc>
          <w:tcPr>
            <w:tcW w:type="dxa" w:w="1995"/>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Período</w:t>
            </w:r>
          </w:p>
        </w:tc>
        <w:tc>
          <w:tcPr>
            <w:tcW w:type="dxa" w:w="3084"/>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Fase</w:t>
            </w:r>
          </w:p>
        </w:tc>
        <w:tc>
          <w:tcPr>
            <w:tcW w:type="dxa" w:w="3991"/>
            <w:shd w:fill="C8102E" w:val="clear"/>
            <w:tcMar>
              <w:top w:type="dxa" w:w="100"/>
              <w:left w:type="dxa" w:w="120"/>
              <w:bottom w:type="dxa" w:w="100"/>
              <w:right w:type="dxa" w:w="120"/>
            </w:tcMar>
            <w:vAlign w:val="center"/>
          </w:tcPr>
          <w:p>
            <w:pPr>
              <w:spacing w:after="0" w:line="260"/>
              <w:jc w:val="left"/>
            </w:pPr>
            <w:r>
              <w:rPr>
                <w:rFonts w:ascii="Calibri" w:cs="Calibri" w:eastAsia="Calibri" w:hAnsi="Calibri"/>
                <w:b/>
                <w:bCs/>
                <w:color w:val="FFFFFF"/>
                <w:sz w:val="19"/>
                <w:szCs w:val="19"/>
              </w:rPr>
              <w:t xml:space="preserve">Entrega Esperada</w:t>
            </w:r>
          </w:p>
        </w:tc>
      </w:tr>
      <w:tr>
        <w:tc>
          <w:tcPr>
            <w:tcW w:type="dxa" w:w="199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06 a 24/ago</w:t>
            </w:r>
          </w:p>
        </w:tc>
        <w:tc>
          <w:tcPr>
            <w:tcW w:type="dxa" w:w="308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Anteprojeto e arquitetura</w:t>
            </w:r>
          </w:p>
        </w:tc>
        <w:tc>
          <w:tcPr>
            <w:tcW w:type="dxa" w:w="3991"/>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Documento de escopo validado pelo orientador, diagrama de arquitetura do núcleo, definição final de stack</w:t>
            </w:r>
          </w:p>
        </w:tc>
      </w:tr>
      <w:tr>
        <w:tc>
          <w:tcPr>
            <w:tcW w:type="dxa" w:w="199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25/ago a 21/set</w:t>
            </w:r>
          </w:p>
        </w:tc>
        <w:tc>
          <w:tcPr>
            <w:tcW w:type="dxa" w:w="3084"/>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Núcleo</w:t>
            </w:r>
          </w:p>
        </w:tc>
        <w:tc>
          <w:tcPr>
            <w:tcW w:type="dxa" w:w="3991"/>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Multi-tenant, autenticação/papéis, engine de anomalia genérica, estrutura de banco de telemetria — funcionando com dado simulado</w:t>
            </w:r>
          </w:p>
        </w:tc>
      </w:tr>
      <w:tr>
        <w:tc>
          <w:tcPr>
            <w:tcW w:type="dxa" w:w="199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22/set a 19/out</w:t>
            </w:r>
          </w:p>
        </w:tc>
        <w:tc>
          <w:tcPr>
            <w:tcW w:type="dxa" w:w="308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Módulo flagship (Manutenção Preditiva)</w:t>
            </w:r>
          </w:p>
        </w:tc>
        <w:tc>
          <w:tcPr>
            <w:tcW w:type="dxa" w:w="3991"/>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Simulação IoT, dashboard, copiloto de diagnóstico — demonstração funcional gravável</w:t>
            </w:r>
          </w:p>
        </w:tc>
      </w:tr>
      <w:tr>
        <w:tc>
          <w:tcPr>
            <w:tcW w:type="dxa" w:w="199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20/out a 09/nov</w:t>
            </w:r>
          </w:p>
        </w:tc>
        <w:tc>
          <w:tcPr>
            <w:tcW w:type="dxa" w:w="3084"/>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Módulo secundário (Segurança/Acesso)</w:t>
            </w:r>
          </w:p>
        </w:tc>
        <w:tc>
          <w:tcPr>
            <w:tcW w:type="dxa" w:w="3991"/>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Reaproveitamento da engine de anomalia — condicionado à conclusão do checkpoint anterior</w:t>
            </w:r>
          </w:p>
        </w:tc>
      </w:tr>
      <w:tr>
        <w:tc>
          <w:tcPr>
            <w:tcW w:type="dxa" w:w="1995"/>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10 a 23/nov</w:t>
            </w:r>
          </w:p>
        </w:tc>
        <w:tc>
          <w:tcPr>
            <w:tcW w:type="dxa" w:w="3084"/>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Polimento</w:t>
            </w:r>
          </w:p>
        </w:tc>
        <w:tc>
          <w:tcPr>
            <w:tcW w:type="dxa" w:w="3991"/>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UI/UX, acessibilidade (WCAG), testes gerais — congelamento de escopo</w:t>
            </w:r>
          </w:p>
        </w:tc>
      </w:tr>
      <w:tr>
        <w:tc>
          <w:tcPr>
            <w:tcW w:type="dxa" w:w="1995"/>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24/nov até a entrega</w:t>
            </w:r>
          </w:p>
        </w:tc>
        <w:tc>
          <w:tcPr>
            <w:tcW w:type="dxa" w:w="3084"/>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Documentação e defesa</w:t>
            </w:r>
          </w:p>
        </w:tc>
        <w:tc>
          <w:tcPr>
            <w:tcW w:type="dxa" w:w="3991"/>
            <w:shd w:fill="F2F2F2" w:val="clear"/>
            <w:tcMar>
              <w:top w:type="dxa" w:w="100"/>
              <w:left w:type="dxa" w:w="120"/>
              <w:bottom w:type="dxa" w:w="100"/>
              <w:right w:type="dxa" w:w="120"/>
            </w:tcMar>
            <w:vAlign w:val="center"/>
          </w:tcPr>
          <w:p>
            <w:pPr>
              <w:spacing w:after="0" w:line="260"/>
              <w:jc w:val="left"/>
            </w:pPr>
            <w:r>
              <w:rPr>
                <w:rFonts w:ascii="Calibri" w:cs="Calibri" w:eastAsia="Calibri" w:hAnsi="Calibri"/>
                <w:b w:val="false"/>
                <w:bCs w:val="false"/>
                <w:color w:val="1A1A1A"/>
                <w:sz w:val="19"/>
                <w:szCs w:val="19"/>
              </w:rPr>
              <w:t xml:space="preserve">Monografia, slides, ensaio de apresentação, buffer de segurança</w:t>
            </w:r>
          </w:p>
        </w:tc>
      </w:tr>
    </w:tbl>
    <w:p>
      <w:pPr>
        <w:spacing w:after="200" w:line="300"/>
        <w:jc w:val="both"/>
      </w:pPr>
      <w:r>
        <w:rPr>
          <w:rFonts w:ascii="Calibri" w:cs="Calibri" w:eastAsia="Calibri" w:hAnsi="Calibri"/>
          <w:color w:val="1A1A1A"/>
          <w:sz w:val="21"/>
          <w:szCs w:val="21"/>
        </w:rPr>
        <w:t xml:space="preserve">Regra de corte explícita: caso o checkpoint do módulo flagship (22/set a 19/out) não seja concluído dentro do prazo, o módulo secundário de Segurança/Acesso é removido do escopo sem renegociação, permanecendo apenas como capítulo de trabalhos futuros na monografia.</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10. Público-Alvo e Segmento de Mercado</w:t>
      </w:r>
    </w:p>
    <w:p>
      <w:pPr>
        <w:spacing w:after="200" w:line="300"/>
        <w:jc w:val="both"/>
      </w:pPr>
      <w:r>
        <w:rPr>
          <w:rFonts w:ascii="Calibri" w:cs="Calibri" w:eastAsia="Calibri" w:hAnsi="Calibri"/>
          <w:color w:val="1A1A1A"/>
          <w:sz w:val="21"/>
          <w:szCs w:val="21"/>
        </w:rPr>
        <w:t xml:space="preserve">A definição do segmento de mercado específico para validação do sistema — por exemplo, indústria de manufatura, varejo, confecção, logística ou logística militar, entre outros — permanece, no momento da redação deste anteprojeto, uma decisão em aberto. Essa escolha será feita coletivamente pela equipe completa (Lucas, Matheus, Jefferson e Julio) em reunião dedicada, após a validação deste documento pelo orientador.</w:t>
      </w:r>
    </w:p>
    <w:p>
      <w:pPr>
        <w:spacing w:after="200" w:line="300"/>
        <w:jc w:val="both"/>
      </w:pPr>
      <w:r>
        <w:rPr>
          <w:rFonts w:ascii="Calibri" w:cs="Calibri" w:eastAsia="Calibri" w:hAnsi="Calibri"/>
          <w:color w:val="1A1A1A"/>
          <w:sz w:val="21"/>
          <w:szCs w:val="21"/>
        </w:rPr>
        <w:t xml:space="preserve">Os critérios que devem orientar essa decisão incluem:</w:t>
      </w:r>
    </w:p>
    <w:p>
      <w:pPr>
        <w:pStyle w:val="ListParagraph"/>
        <w:numPr>
          <w:ilvl w:val="0"/>
          <w:numId w:val="2"/>
        </w:numPr>
        <w:spacing w:after="110" w:line="290"/>
        <w:jc w:val="both"/>
      </w:pPr>
      <w:r>
        <w:rPr>
          <w:rFonts w:ascii="Calibri" w:cs="Calibri" w:eastAsia="Calibri" w:hAnsi="Calibri"/>
          <w:color w:val="1A1A1A"/>
          <w:sz w:val="21"/>
          <w:szCs w:val="21"/>
        </w:rPr>
        <w:t xml:space="preserve">Disponibilidade de um cliente real ou realista, com processo de manutenção de ativos que a equipe consiga observar e modelar.</w:t>
      </w:r>
    </w:p>
    <w:p>
      <w:pPr>
        <w:pStyle w:val="ListParagraph"/>
        <w:numPr>
          <w:ilvl w:val="0"/>
          <w:numId w:val="2"/>
        </w:numPr>
        <w:spacing w:after="110" w:line="290"/>
        <w:jc w:val="both"/>
      </w:pPr>
      <w:r>
        <w:rPr>
          <w:rFonts w:ascii="Calibri" w:cs="Calibri" w:eastAsia="Calibri" w:hAnsi="Calibri"/>
          <w:color w:val="1A1A1A"/>
          <w:sz w:val="21"/>
          <w:szCs w:val="21"/>
        </w:rPr>
        <w:t xml:space="preserve">Existência de ativos físicos monitoráveis, compatíveis com o módulo de manutenção preditiva.</w:t>
      </w:r>
    </w:p>
    <w:p>
      <w:pPr>
        <w:pStyle w:val="ListParagraph"/>
        <w:numPr>
          <w:ilvl w:val="0"/>
          <w:numId w:val="2"/>
        </w:numPr>
        <w:spacing w:after="110" w:line="290"/>
        <w:jc w:val="both"/>
      </w:pPr>
      <w:r>
        <w:rPr>
          <w:rFonts w:ascii="Calibri" w:cs="Calibri" w:eastAsia="Calibri" w:hAnsi="Calibri"/>
          <w:color w:val="1A1A1A"/>
          <w:sz w:val="21"/>
          <w:szCs w:val="21"/>
        </w:rPr>
        <w:t xml:space="preserve">Viabilidade de demonstrar volume de dados simulado suficiente para apresentar a detecção de anomalias de forma convincente dentro do prazo.</w:t>
      </w:r>
    </w:p>
    <w:p>
      <w:pPr>
        <w:pStyle w:val="ListParagraph"/>
        <w:numPr>
          <w:ilvl w:val="0"/>
          <w:numId w:val="2"/>
        </w:numPr>
        <w:spacing w:after="110" w:line="290"/>
        <w:jc w:val="both"/>
      </w:pPr>
      <w:r>
        <w:rPr>
          <w:rFonts w:ascii="Calibri" w:cs="Calibri" w:eastAsia="Calibri" w:hAnsi="Calibri"/>
          <w:color w:val="1A1A1A"/>
          <w:sz w:val="21"/>
          <w:szCs w:val="21"/>
        </w:rPr>
        <w:t xml:space="preserve">Complementaridade com o módulo de segurança/acesso, quando este for implementado.</w:t>
      </w:r>
    </w:p>
    <w:p>
      <w:pPr>
        <w:spacing w:after="200" w:line="300"/>
        <w:jc w:val="both"/>
      </w:pPr>
      <w:r>
        <w:rPr>
          <w:rFonts w:ascii="Calibri" w:cs="Calibri" w:eastAsia="Calibri" w:hAnsi="Calibri"/>
          <w:color w:val="1A1A1A"/>
          <w:sz w:val="21"/>
          <w:szCs w:val="21"/>
        </w:rPr>
        <w:t xml:space="preserve">A arquitetura multi-tenant e modular descrita na Seção 7 foi deliberadamente projetada para não depender de um setor específico: o núcleo (autenticação, engine de anomalia, auditoria, notificações) é agnóstico de domínio, e a especialização ocorre apenas na camada de módulo. Isso significa que a definição tardia do segmento-alvo não representa risco estrutural para o cronograma — o trabalho de arquitetura e núcleo pode avançar em paralelo à decisão de nicho.</w:t>
      </w:r>
    </w:p>
    <w:p>
      <w:pPr>
        <w:pStyle w:val="Heading1"/>
        <w:pBdr>
          <w:bottom w:val="single" w:color="C8102E" w:sz="8" w:space="6"/>
        </w:pBdr>
        <w:spacing w:after="240" w:before="480"/>
      </w:pPr>
      <w:r>
        <w:rPr>
          <w:rFonts w:ascii="Calibri" w:cs="Calibri" w:eastAsia="Calibri" w:hAnsi="Calibri"/>
          <w:b/>
          <w:bCs/>
          <w:color w:val="1A1A1A"/>
          <w:sz w:val="27"/>
          <w:szCs w:val="27"/>
        </w:rPr>
        <w:t xml:space="preserve">11. Resultados Esperados</w:t>
      </w:r>
    </w:p>
    <w:p>
      <w:pPr>
        <w:pStyle w:val="ListParagraph"/>
        <w:numPr>
          <w:ilvl w:val="0"/>
          <w:numId w:val="2"/>
        </w:numPr>
        <w:spacing w:after="110" w:line="290"/>
        <w:jc w:val="both"/>
      </w:pPr>
      <w:r>
        <w:rPr>
          <w:rFonts w:ascii="Calibri" w:cs="Calibri" w:eastAsia="Calibri" w:hAnsi="Calibri"/>
          <w:color w:val="1A1A1A"/>
          <w:sz w:val="21"/>
          <w:szCs w:val="21"/>
        </w:rPr>
        <w:t xml:space="preserve">Protótipo funcional demonstrável, cobrindo núcleo compartilhado e módulo de Manutenção Preditiva por completo.</w:t>
      </w:r>
    </w:p>
    <w:p>
      <w:pPr>
        <w:pStyle w:val="ListParagraph"/>
        <w:numPr>
          <w:ilvl w:val="0"/>
          <w:numId w:val="2"/>
        </w:numPr>
        <w:spacing w:after="110" w:line="290"/>
        <w:jc w:val="both"/>
      </w:pPr>
      <w:r>
        <w:rPr>
          <w:rFonts w:ascii="Calibri" w:cs="Calibri" w:eastAsia="Calibri" w:hAnsi="Calibri"/>
          <w:color w:val="1A1A1A"/>
          <w:sz w:val="21"/>
          <w:szCs w:val="21"/>
        </w:rPr>
        <w:t xml:space="preserve">Validação prática da hipótese arquitetural central: uma única engine de detecção de anomalias aplicável a dois domínios distintos (telemetria de ativos e padrões de acesso).</w:t>
      </w:r>
    </w:p>
    <w:p>
      <w:pPr>
        <w:pStyle w:val="ListParagraph"/>
        <w:numPr>
          <w:ilvl w:val="0"/>
          <w:numId w:val="2"/>
        </w:numPr>
        <w:spacing w:after="110" w:line="290"/>
        <w:jc w:val="both"/>
      </w:pPr>
      <w:r>
        <w:rPr>
          <w:rFonts w:ascii="Calibri" w:cs="Calibri" w:eastAsia="Calibri" w:hAnsi="Calibri"/>
          <w:color w:val="1A1A1A"/>
          <w:sz w:val="21"/>
          <w:szCs w:val="21"/>
        </w:rPr>
        <w:t xml:space="preserve">Documentação técnica completa, incluindo justificativa de decisões de escopo (MVP versus roadmap) e fundamentação teórica correlata.</w:t>
      </w:r>
    </w:p>
    <w:p>
      <w:pPr>
        <w:pStyle w:val="ListParagraph"/>
        <w:numPr>
          <w:ilvl w:val="0"/>
          <w:numId w:val="2"/>
        </w:numPr>
        <w:spacing w:after="110" w:line="290"/>
        <w:jc w:val="both"/>
      </w:pPr>
      <w:r>
        <w:rPr>
          <w:rFonts w:ascii="Calibri" w:cs="Calibri" w:eastAsia="Calibri" w:hAnsi="Calibri"/>
          <w:color w:val="1A1A1A"/>
          <w:sz w:val="21"/>
          <w:szCs w:val="21"/>
        </w:rPr>
        <w:t xml:space="preserve">Aplicativo mobile funcional com sincronização offline-first, validando a arquitetura de resolução de conflitos de sincronização.</w:t>
      </w:r>
    </w:p>
    <w:p>
      <w:pPr>
        <w:pStyle w:val="ListParagraph"/>
        <w:numPr>
          <w:ilvl w:val="0"/>
          <w:numId w:val="2"/>
        </w:numPr>
        <w:spacing w:after="110" w:line="290"/>
        <w:jc w:val="both"/>
      </w:pPr>
      <w:r>
        <w:rPr>
          <w:rFonts w:ascii="Calibri" w:cs="Calibri" w:eastAsia="Calibri" w:hAnsi="Calibri"/>
          <w:color w:val="1A1A1A"/>
          <w:sz w:val="21"/>
          <w:szCs w:val="21"/>
        </w:rPr>
        <w:t xml:space="preserve">Base de conhecimento prático aplicado à certificação Microsoft Azure AI em andamento por parte da equipe.</w:t>
      </w:r>
    </w:p>
    <w:p>
      <w:pPr>
        <w:pStyle w:val="ListParagraph"/>
        <w:numPr>
          <w:ilvl w:val="0"/>
          <w:numId w:val="2"/>
        </w:numPr>
        <w:spacing w:after="110" w:line="290"/>
        <w:jc w:val="both"/>
      </w:pPr>
      <w:r>
        <w:rPr>
          <w:rFonts w:ascii="Calibri" w:cs="Calibri" w:eastAsia="Calibri" w:hAnsi="Calibri"/>
          <w:color w:val="1A1A1A"/>
          <w:sz w:val="21"/>
          <w:szCs w:val="21"/>
        </w:rPr>
        <w:t xml:space="preserve">Embasamento documentado para eventual continuidade do projeto como produto real, além do escopo acadêmico do TCC.</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12. Considerações Finais</w:t>
      </w:r>
    </w:p>
    <w:p>
      <w:pPr>
        <w:spacing w:after="200" w:line="300"/>
        <w:jc w:val="both"/>
      </w:pPr>
      <w:r>
        <w:rPr>
          <w:rFonts w:ascii="Calibri" w:cs="Calibri" w:eastAsia="Calibri" w:hAnsi="Calibri"/>
          <w:color w:val="1A1A1A"/>
          <w:sz w:val="21"/>
          <w:szCs w:val="21"/>
        </w:rPr>
        <w:t xml:space="preserve">Este anteprojeto propõe um sistema deliberadamente ambicioso em visão e deliberadamente contido em escopo de implementação — a ambição fica registrada na arquitetura modular e na fundamentação teórica; a contenção fica registrada na separação explícita entre MVP obrigatório, funcionalidades condicionadas ao cronograma e trabalhos futuros documentados. Essa separação é tratada, propositalmente, como decisão técnica consciente, e não como limitação a ser escondida da banca.</w:t>
      </w:r>
    </w:p>
    <w:p>
      <w:pPr>
        <w:spacing w:after="200" w:line="300"/>
        <w:jc w:val="both"/>
      </w:pPr>
      <w:r>
        <w:rPr>
          <w:rFonts w:ascii="Calibri" w:cs="Calibri" w:eastAsia="Calibri" w:hAnsi="Calibri"/>
          <w:color w:val="1A1A1A"/>
          <w:sz w:val="21"/>
          <w:szCs w:val="21"/>
        </w:rPr>
        <w:t xml:space="preserve">Os pontos ainda em aberto — segmento de mercado-alvo (Seção 10) e ajuste fino da divisão de papéis da equipe (Seção 6.2) — serão resolvidos em reunião de equipe após a validação deste documento. A equipe permanece à disposição do orientador para ajustes de escopo, metodologia ou cronograma que sejam considerados necessários nesta etapa preliminar.</w:t>
      </w:r>
    </w:p>
    <w:p>
      <w:r>
        <w:br w:type="page"/>
      </w:r>
    </w:p>
    <w:p>
      <w:pPr>
        <w:pStyle w:val="Heading1"/>
        <w:pBdr>
          <w:bottom w:val="single" w:color="C8102E" w:sz="8" w:space="6"/>
        </w:pBdr>
        <w:spacing w:after="240" w:before="480"/>
      </w:pPr>
      <w:r>
        <w:rPr>
          <w:rFonts w:ascii="Calibri" w:cs="Calibri" w:eastAsia="Calibri" w:hAnsi="Calibri"/>
          <w:b/>
          <w:bCs/>
          <w:color w:val="1A1A1A"/>
          <w:sz w:val="27"/>
          <w:szCs w:val="27"/>
        </w:rPr>
        <w:t xml:space="preserve">Referências</w:t>
      </w:r>
    </w:p>
    <w:p>
      <w:pPr>
        <w:spacing w:after="220" w:line="276"/>
        <w:ind w:left="0" w:hanging="0"/>
        <w:jc w:val="both"/>
      </w:pPr>
      <w:r>
        <w:rPr>
          <w:rFonts w:ascii="Calibri" w:cs="Calibri" w:eastAsia="Calibri" w:hAnsi="Calibri"/>
          <w:color w:val="1A1A1A"/>
          <w:sz w:val="20"/>
          <w:szCs w:val="20"/>
        </w:rPr>
        <w:t xml:space="preserve">ABES — ASSOCIAÇÃO BRASILEIRA DAS EMPRESAS DE SOFTWARE; IDC. Mercado Brasileiro de Software: Panorama e Tendências 2026. Divulgado via Canaltech, 2026. Disponível em: https://canaltech.com.br/mercado/empresas-brasileiras-colocam-agentes-de-ia-entre-prioridades-para-2026/. Acesso em: 6 ago. 2026.</w:t>
      </w:r>
    </w:p>
    <w:p>
      <w:pPr>
        <w:spacing w:after="220" w:line="276"/>
        <w:ind w:left="0" w:hanging="0"/>
        <w:jc w:val="both"/>
      </w:pPr>
      <w:r>
        <w:rPr>
          <w:rFonts w:ascii="Calibri" w:cs="Calibri" w:eastAsia="Calibri" w:hAnsi="Calibri"/>
          <w:color w:val="1A1A1A"/>
          <w:sz w:val="20"/>
          <w:szCs w:val="20"/>
        </w:rPr>
        <w:t xml:space="preserve">ACORN apud IT FORUM. Mercado de SaaS na América Latina deve atingir US$ 46 bilhões até 2027, com Brasil liderando crescimento. 2026. Disponível em: https://itforum.com.br/noticias/saas-deve-atingir-us-46-bilhoes/. Acesso em: 6 ago. 2026.</w:t>
      </w:r>
    </w:p>
    <w:p>
      <w:pPr>
        <w:spacing w:after="220" w:line="276"/>
        <w:ind w:left="0" w:hanging="0"/>
        <w:jc w:val="both"/>
      </w:pPr>
      <w:r>
        <w:rPr>
          <w:rFonts w:ascii="Calibri" w:cs="Calibri" w:eastAsia="Calibri" w:hAnsi="Calibri"/>
          <w:color w:val="1A1A1A"/>
          <w:sz w:val="20"/>
          <w:szCs w:val="20"/>
        </w:rPr>
        <w:t xml:space="preserve">ALURA. Mercado de IA 2026: o guia de tendências, oportunidades e carreiras. 2026. Disponível em: https://www.alura.com.br/artigos/mercado-de-ia. Acesso em: 6 ago. 2026.</w:t>
      </w:r>
    </w:p>
    <w:p>
      <w:pPr>
        <w:spacing w:after="220" w:line="276"/>
        <w:ind w:left="0" w:hanging="0"/>
        <w:jc w:val="both"/>
      </w:pPr>
      <w:r>
        <w:rPr>
          <w:rFonts w:ascii="Calibri" w:cs="Calibri" w:eastAsia="Calibri" w:hAnsi="Calibri"/>
          <w:color w:val="1A1A1A"/>
          <w:sz w:val="20"/>
          <w:szCs w:val="20"/>
        </w:rPr>
        <w:t xml:space="preserve">CLARANET apud INFORCHANNEL. Tendências de Cibersegurança que devem dominar o segundo semestre de 2026. 2026. Disponível em: https://inforchannel.com.br/2026/08/05/oito-tendencias-de-ciberseguranca-que-devem-dominar-o-segundo-semestre-de-2026/. Acesso em: 6 ago. 2026.</w:t>
      </w:r>
    </w:p>
    <w:p>
      <w:pPr>
        <w:spacing w:after="220" w:line="276"/>
        <w:ind w:left="0" w:hanging="0"/>
        <w:jc w:val="both"/>
      </w:pPr>
      <w:r>
        <w:rPr>
          <w:rFonts w:ascii="Calibri" w:cs="Calibri" w:eastAsia="Calibri" w:hAnsi="Calibri"/>
          <w:color w:val="1A1A1A"/>
          <w:sz w:val="20"/>
          <w:szCs w:val="20"/>
        </w:rPr>
        <w:t xml:space="preserve">GARTNER apud IT FORUM. 2026 marcará a virada dos agentes de IA no mercado brasileiro, afirmam especialistas. 2026. Disponível em: https://itforum.com.br/noticias/2026-virada-agentes-de-ia/. Acesso em: 6 ago. 2026.</w:t>
      </w:r>
    </w:p>
    <w:p>
      <w:pPr>
        <w:spacing w:after="220" w:line="276"/>
        <w:ind w:left="0" w:hanging="0"/>
        <w:jc w:val="both"/>
      </w:pPr>
      <w:r>
        <w:rPr>
          <w:rFonts w:ascii="Calibri" w:cs="Calibri" w:eastAsia="Calibri" w:hAnsi="Calibri"/>
          <w:color w:val="1A1A1A"/>
          <w:sz w:val="20"/>
          <w:szCs w:val="20"/>
        </w:rPr>
        <w:t xml:space="preserve">HOSTDIME BRASIL. Cibersegurança em 2026: tendências, dicas e novas leis. 2026. Disponível em: https://www.hostdime.com.br/blog/ciberseguranca-2026-tendencias-dicas-e-leis. Acesso em: 6 ago. 2026.</w:t>
      </w:r>
    </w:p>
    <w:p>
      <w:pPr>
        <w:spacing w:after="220" w:line="276"/>
        <w:ind w:left="0" w:hanging="0"/>
        <w:jc w:val="both"/>
      </w:pPr>
      <w:r>
        <w:rPr>
          <w:rFonts w:ascii="Calibri" w:cs="Calibri" w:eastAsia="Calibri" w:hAnsi="Calibri"/>
          <w:color w:val="1A1A1A"/>
          <w:sz w:val="20"/>
          <w:szCs w:val="20"/>
        </w:rPr>
        <w:t xml:space="preserve">IMPACTA. 6 tendências em cibersegurança que você precisa conhecer em 2026. 2026. Disponível em: https://www.impacta.com.br/blog/6-tendencias-em-ciberseguranca-que-voce-precisa-conhecer-em-2026/. Acesso em: 6 ago. 2026.</w:t>
      </w:r>
    </w:p>
    <w:p>
      <w:pPr>
        <w:spacing w:after="220" w:line="276"/>
        <w:ind w:left="0" w:hanging="0"/>
        <w:jc w:val="both"/>
      </w:pPr>
      <w:r>
        <w:rPr>
          <w:rFonts w:ascii="Calibri" w:cs="Calibri" w:eastAsia="Calibri" w:hAnsi="Calibri"/>
          <w:color w:val="1A1A1A"/>
          <w:sz w:val="20"/>
          <w:szCs w:val="20"/>
        </w:rPr>
        <w:t xml:space="preserve">LANEY, Doug. 3D Data Management: Controlling Data Volume, Velocity and Variety. Stamford: META Group, 2001.</w:t>
      </w:r>
    </w:p>
    <w:p>
      <w:pPr>
        <w:spacing w:after="220" w:line="276"/>
        <w:ind w:left="0" w:hanging="0"/>
        <w:jc w:val="both"/>
      </w:pPr>
      <w:r>
        <w:rPr>
          <w:rFonts w:ascii="Calibri" w:cs="Calibri" w:eastAsia="Calibri" w:hAnsi="Calibri"/>
          <w:color w:val="1A1A1A"/>
          <w:sz w:val="20"/>
          <w:szCs w:val="20"/>
        </w:rPr>
        <w:t xml:space="preserve">POLIBRAS SOFTWARE. Tendências em software para 2026 nas indústrias e distribuidoras. 2025. Disponível em: https://polibrassoftware.com.br/blog/tecnologia/tendencias-em-software-para-2026/. Acesso em: 6 ago. 2026.</w:t>
      </w:r>
    </w:p>
    <w:p>
      <w:pPr>
        <w:spacing w:after="220" w:line="276"/>
        <w:ind w:left="0" w:hanging="0"/>
        <w:jc w:val="both"/>
      </w:pPr>
      <w:r>
        <w:rPr>
          <w:rFonts w:ascii="Calibri" w:cs="Calibri" w:eastAsia="Calibri" w:hAnsi="Calibri"/>
          <w:color w:val="1A1A1A"/>
          <w:sz w:val="20"/>
          <w:szCs w:val="20"/>
        </w:rPr>
        <w:t xml:space="preserve">STARTI. Tendências de cibersegurança para o 2º semestre de 2026. 2026. Disponível em: https://blog.starti.com.br/tendencias-ciberseguranca-2026-2/. Acesso em: 6 ago. 2026.</w:t>
      </w:r>
    </w:p>
    <w:sectPr>
      <w:headerReference w:type="default" r:id="rId7"/>
      <w:footerReference w:type="default" r:id="rId8"/>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4"/>
      </w:pBdr>
      <w:jc w:val="right"/>
    </w:pPr>
    <w:r>
      <w:rPr>
        <w:rFonts w:ascii="Calibri" w:cs="Calibri" w:eastAsia="Calibri" w:hAnsi="Calibri"/>
        <w:i/>
        <w:iCs/>
        <w:color w:val="595959"/>
        <w:sz w:val="16"/>
        <w:szCs w:val="16"/>
      </w:rPr>
      <w:t xml:space="preserve">SENTINEL — Anteprojeto de TCC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2026-08-06T18:06:06.771Z</dcterms:created>
  <dcterms:modified xsi:type="dcterms:W3CDTF">2026-08-06T18:06:06.783Z</dcterms:modified>
</cp:coreProperties>
</file>

<file path=docProps/custom.xml><?xml version="1.0" encoding="utf-8"?>
<Properties xmlns="http://schemas.openxmlformats.org/officeDocument/2006/custom-properties" xmlns:vt="http://schemas.openxmlformats.org/officeDocument/2006/docPropsVTypes"/>
</file>