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color w:val="444441"/>
          <w:sz w:val="24"/>
          <w:szCs w:val="24"/>
        </w:rPr>
        <w:t xml:space="preserve">SENAI Limeira/SP</w:t>
      </w:r>
    </w:p>
    <w:p>
      <w:pPr>
        <w:spacing w:before="100"/>
        <w:jc w:val="center"/>
      </w:pPr>
      <w:r>
        <w:rPr>
          <w:color w:val="444441"/>
          <w:sz w:val="24"/>
          <w:szCs w:val="24"/>
        </w:rPr>
        <w:t xml:space="preserve">Curso Técnico em Desenvolvimento de Sistemas — 3º DEV-A</w:t>
      </w:r>
    </w:p>
    <w:p>
      <w:pPr>
        <w:spacing w:before="1600"/>
      </w:pPr>
    </w:p>
    <w:p>
      <w:pPr>
        <w:jc w:val="center"/>
      </w:pPr>
      <w:r>
        <w:rPr>
          <w:b/>
          <w:bCs/>
          <w:color w:val="26215C"/>
          <w:sz w:val="56"/>
          <w:szCs w:val="56"/>
        </w:rPr>
        <w:t xml:space="preserve">SENTINEL</w:t>
      </w:r>
    </w:p>
    <w:p>
      <w:pPr>
        <w:spacing w:before="200"/>
        <w:jc w:val="center"/>
      </w:pPr>
      <w:r>
        <w:rPr>
          <w:color w:val="0F6E56"/>
          <w:sz w:val="30"/>
          <w:szCs w:val="30"/>
        </w:rPr>
        <w:t xml:space="preserve">Interface Conversacional Agêntica sobre Sistema MVC</w:t>
      </w:r>
    </w:p>
    <w:p>
      <w:pPr>
        <w:spacing w:before="100"/>
        <w:jc w:val="center"/>
      </w:pPr>
      <w:r>
        <w:rPr>
          <w:i/>
          <w:iCs/>
          <w:color w:val="444441"/>
          <w:sz w:val="22"/>
          <w:szCs w:val="22"/>
        </w:rPr>
        <w:t xml:space="preserve">Documento de concepção — versão para apresentação ao orientador e à equipe</w:t>
      </w:r>
    </w:p>
    <w:p>
      <w:pPr>
        <w:spacing w:before="1600"/>
      </w:pPr>
    </w:p>
    <w:p>
      <w:pPr>
        <w:jc w:val="center"/>
      </w:pPr>
      <w:r>
        <w:rPr>
          <w:sz w:val="22"/>
          <w:szCs w:val="22"/>
        </w:rPr>
        <w:t xml:space="preserve">Equipe: Lucas Terminiello, Matheus Malaman, Jefferson Bruno C. Miguel, Julio</w:t>
      </w:r>
    </w:p>
    <w:p>
      <w:pPr>
        <w:spacing w:before="100"/>
        <w:jc w:val="center"/>
      </w:pPr>
      <w:r>
        <w:rPr>
          <w:sz w:val="22"/>
          <w:szCs w:val="22"/>
        </w:rPr>
        <w:t xml:space="preserve">Limeira,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Sumário</w:t>
      </w:r>
    </w:p>
    <w:p>
      <w:pPr>
        <w:spacing w:after="140"/>
      </w:pPr>
      <w:r>
        <w:rPr>
          <w:sz w:val="22"/>
          <w:szCs w:val="22"/>
        </w:rPr>
        <w:t xml:space="preserve">1. Contexto e motivação</w:t>
      </w:r>
    </w:p>
    <w:p>
      <w:pPr>
        <w:spacing w:after="140"/>
      </w:pPr>
      <w:r>
        <w:rPr>
          <w:sz w:val="22"/>
          <w:szCs w:val="22"/>
        </w:rPr>
        <w:t xml:space="preserve">2. Conceito central</w:t>
      </w:r>
    </w:p>
    <w:p>
      <w:pPr>
        <w:spacing w:after="140"/>
      </w:pPr>
      <w:r>
        <w:rPr>
          <w:sz w:val="22"/>
          <w:szCs w:val="22"/>
        </w:rPr>
        <w:t xml:space="preserve">3. Arquitetura</w:t>
      </w:r>
    </w:p>
    <w:p>
      <w:pPr>
        <w:spacing w:after="140"/>
      </w:pPr>
      <w:r>
        <w:rPr>
          <w:sz w:val="22"/>
          <w:szCs w:val="22"/>
        </w:rPr>
        <w:t xml:space="preserve">4. Garantias de governança</w:t>
      </w:r>
    </w:p>
    <w:p>
      <w:pPr>
        <w:spacing w:after="140"/>
      </w:pPr>
      <w:r>
        <w:rPr>
          <w:sz w:val="22"/>
          <w:szCs w:val="22"/>
        </w:rPr>
        <w:t xml:space="preserve">5. Público-alvo e análise de mercado</w:t>
      </w:r>
    </w:p>
    <w:p>
      <w:pPr>
        <w:spacing w:after="140"/>
      </w:pPr>
      <w:r>
        <w:rPr>
          <w:sz w:val="22"/>
          <w:szCs w:val="22"/>
        </w:rPr>
        <w:t xml:space="preserve">6. Predições sobre o público-alvo</w:t>
      </w:r>
    </w:p>
    <w:p>
      <w:pPr>
        <w:spacing w:after="140"/>
      </w:pPr>
      <w:r>
        <w:rPr>
          <w:sz w:val="22"/>
          <w:szCs w:val="22"/>
        </w:rPr>
        <w:t xml:space="preserve">7. Protótipo de interface</w:t>
      </w:r>
    </w:p>
    <w:p>
      <w:pPr>
        <w:spacing w:after="140"/>
      </w:pPr>
      <w:r>
        <w:rPr>
          <w:sz w:val="22"/>
          <w:szCs w:val="22"/>
        </w:rPr>
        <w:t xml:space="preserve">8. Requisitos preliminares</w:t>
      </w:r>
    </w:p>
    <w:p>
      <w:pPr>
        <w:spacing w:after="140"/>
      </w:pPr>
      <w:r>
        <w:rPr>
          <w:sz w:val="22"/>
          <w:szCs w:val="22"/>
        </w:rPr>
        <w:t xml:space="preserve">9. Limitações reconhecidas</w:t>
      </w:r>
    </w:p>
    <w:p>
      <w:pPr>
        <w:spacing w:after="140"/>
      </w:pPr>
      <w:r>
        <w:rPr>
          <w:sz w:val="22"/>
          <w:szCs w:val="22"/>
        </w:rPr>
        <w:t xml:space="preserve">10. Próximos passos</w:t>
      </w:r>
    </w:p>
    <w:p>
      <w:pPr>
        <w:spacing w:after="140"/>
      </w:pPr>
      <w:r>
        <w:rPr>
          <w:sz w:val="22"/>
          <w:szCs w:val="22"/>
        </w:rPr>
        <w:t xml:space="preserve">Referências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Contexto e motivação</w:t>
      </w:r>
    </w:p>
    <w:p>
      <w:pPr>
        <w:spacing w:after="200" w:line="300"/>
      </w:pPr>
      <w:r>
        <w:rPr>
          <w:sz w:val="22"/>
          <w:szCs w:val="22"/>
        </w:rPr>
        <w:t xml:space="preserve">O projeto Sentinel nasceu no anteprojeto original como uma plataforma SaaS multi-tenant de detecção de anomalias e manutenção preditiva, apoiada em serviços de IA do Azure. Durante o aprofundamento técnico da proposta, dois problemas concretos motivaram a revisão do conceito.</w:t>
      </w:r>
    </w:p>
    <w:p>
      <w:pPr>
        <w:pStyle w:val="Heading2"/>
        <w:spacing w:after="150" w:before="300"/>
      </w:pPr>
      <w:r>
        <w:t xml:space="preserve">1.1 Inviabilidade técnica do caminho original</w:t>
      </w:r>
    </w:p>
    <w:p>
      <w:pPr>
        <w:spacing w:after="200" w:line="300"/>
      </w:pPr>
      <w:r>
        <w:rPr>
          <w:sz w:val="22"/>
          <w:szCs w:val="22"/>
        </w:rPr>
        <w:t xml:space="preserve">O Azure AI Anomaly Detector, serviço que embasava a camada preditiva do anteprojeto, está sendo descontinuado pela Microsoft. Desde setembro de 2023 não é mais possível criar novos recursos do serviço, e sua aposentadoria definitiva ocorre em 1º de outubro de 2026 — junto com o Metrics Advisor, também cogitado. A Microsoft recomenda migração para Fabric ou para bibliotecas open-source de anomaly detection.</w:t>
      </w:r>
    </w:p>
    <w:p>
      <w:pPr>
        <w:spacing w:after="200" w:line="300"/>
      </w:pPr>
      <w:r>
        <w:rPr>
          <w:sz w:val="22"/>
          <w:szCs w:val="22"/>
        </w:rPr>
        <w:t xml:space="preserve">Além da descontinuação do serviço, a equipe identificou uma limitação de escopo: manutenção preditiva de verdade exige histórico de falhas e treinamento de modelo — recursos de tempo e dado que um TCC de poucos meses não comporta de forma realista.</w:t>
      </w:r>
    </w:p>
    <w:p>
      <w:pPr>
        <w:pStyle w:val="Heading2"/>
        <w:spacing w:after="150" w:before="300"/>
      </w:pPr>
      <w:r>
        <w:t xml:space="preserve">1.2 Uma oportunidade mais forte</w:t>
      </w:r>
    </w:p>
    <w:p>
      <w:pPr>
        <w:spacing w:after="200" w:line="300"/>
      </w:pPr>
      <w:r>
        <w:rPr>
          <w:sz w:val="22"/>
          <w:szCs w:val="22"/>
        </w:rPr>
        <w:t xml:space="preserve">Da análise desses limites emergiu um conceito mais maduro e mais atual: em vez de prever falhas em sensores, o sistema passa a resolver um problema de usabilidade universal em softwares de gestão — a fricção entre o que o usuário quer fazer e a navegação por menus, telas e cadastros necessária para fazê-lo. A proposta revisada substitui a camada preditiva por uma camada de interface conversacional agêntica: o usuário declara a intenção em linguagem natural, e um agente de IA orquestra as operações do sistema MVC já existente, mantendo o humano no controle de toda decisão de escrita.</w:t>
      </w:r>
    </w:p>
    <w:p>
      <w:pPr>
        <w:spacing w:after="200" w:line="300"/>
      </w:pPr>
      <w:r>
        <w:rPr>
          <w:sz w:val="22"/>
          <w:szCs w:val="22"/>
        </w:rPr>
        <w:t xml:space="preserve">O nome Sentinel é mantido provisoriamente pela equipe, ainda que o novo escopo sugira revisão futura do nome para melhor refletir o produto (ex.: assistente de gestão em vez de sistema de vigilância de sensores).</w:t>
      </w:r>
    </w:p>
    <w:p>
      <w:pPr>
        <w:pStyle w:val="Heading1"/>
        <w:spacing w:after="200" w:before="400"/>
      </w:pPr>
      <w:r>
        <w:t xml:space="preserve">2. Conceito central</w:t>
      </w:r>
    </w:p>
    <w:p>
      <w:pPr>
        <w:spacing w:after="200" w:line="300"/>
      </w:pPr>
      <w:r>
        <w:rPr>
          <w:sz w:val="22"/>
          <w:szCs w:val="22"/>
        </w:rPr>
        <w:t xml:space="preserve">A ideia central do TCC pode ser resumida em uma frase: um sistema de gestão onde o usuário declara a intenção em linguagem natural, e um agente de IA orquestra as operações do sistema, mantendo o humano no controle das decisões.</w:t>
      </w:r>
    </w:p>
    <w:p>
      <w:pPr>
        <w:pStyle w:val="Heading2"/>
        <w:spacing w:after="150" w:before="300"/>
      </w:pPr>
      <w:r>
        <w:t xml:space="preserve">2.1 Exemplo de uso</w:t>
      </w:r>
    </w:p>
    <w:p>
      <w:pPr>
        <w:spacing w:after="200" w:line="300"/>
      </w:pPr>
      <w:r>
        <w:rPr>
          <w:sz w:val="22"/>
          <w:szCs w:val="22"/>
        </w:rPr>
        <w:t xml:space="preserve">O caso que originou o conceito ilustra bem a proposta: em vez de o usuário navegar por Cadastros → Funcionários → Filtros → Pagamento, ele digita "quais funcionários ainda não foram pagos até hoje?". O sistema responde com uma tabela editável e exportável. Em seguida, o usuário pede "marque esses como pagamento concluído", o sistema apresenta uma confirmação explícita da ação, e só após a aprovação humana grava a alteração no banco de dados.</w:t>
      </w:r>
    </w:p>
    <w:p>
      <w:pPr>
        <w:pStyle w:val="Heading2"/>
        <w:spacing w:after="150" w:before="300"/>
      </w:pPr>
      <w:r>
        <w:t xml:space="preserve">2.2 Fundamentação teórica</w:t>
      </w:r>
    </w:p>
    <w:p>
      <w:pPr>
        <w:spacing w:after="200" w:line="300"/>
      </w:pPr>
      <w:r>
        <w:rPr>
          <w:sz w:val="22"/>
          <w:szCs w:val="22"/>
        </w:rPr>
        <w:t xml:space="preserve">O conceito tem respaldo em literatura recente de interação humano-computador. Jakob Nielsen, referência histórica em usabilidade, descreveu a IA generativa como a primeira mudança de paradigma de interface em 60 anos: a transição da manipulação direta (o usuário especifica como fazer, clicando em elementos) para a especificação de intenção (o usuário declara o que quer, e o sistema resolve o como).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4441"/>
          <w:sz w:val="18"/>
          <w:szCs w:val="18"/>
        </w:rPr>
        <w:t xml:space="preserve">Figura 1 — Mudança de paradigma de interface (Nielsen, 2023).</w:t>
      </w:r>
    </w:p>
    <w:p>
      <w:pPr>
        <w:spacing w:after="200" w:line="300"/>
      </w:pPr>
      <w:r>
        <w:rPr>
          <w:sz w:val="22"/>
          <w:szCs w:val="22"/>
        </w:rPr>
        <w:t xml:space="preserve">O mecanismo técnico que viabiliza essa transição é o tool calling (ou function calling): o modelo de linguagem recebe uma lista de ferramentas disponíveis e decide qual invocar, com quais parâmetros, sem executar a operação diretamente. O padrão de raciocínio-e-ação por trás do ciclo (interpretar, decidir, agir, observar o resultado) foi formalizado no paper ReAct (Yao et al., 2022) e é hoje a base da documentação oficial de tool use da Anthropic e da Azure OpenAI. O modelo de supervisão adotado — toda ação de escrita depende de confirmação humana — é conhecido na literatura como human-in-the-loop.</w:t>
      </w:r>
    </w:p>
    <w:p>
      <w:pPr>
        <w:pStyle w:val="Heading2"/>
        <w:spacing w:after="150" w:before="300"/>
      </w:pPr>
      <w:r>
        <w:t xml:space="preserve">2.3 Os quatro padrões de interação</w:t>
      </w:r>
    </w:p>
    <w:p>
      <w:pPr>
        <w:spacing w:after="200" w:line="300"/>
      </w:pPr>
      <w:r>
        <w:rPr>
          <w:sz w:val="22"/>
          <w:szCs w:val="22"/>
        </w:rPr>
        <w:t xml:space="preserve">Da exploração de casos de uso emergiram quatro padrões que cobrem, na prática, qualquer requisito funcional do sistema: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Consulta com resultado tabular — o usuário pergunta, a IA responde com uma tabela editável, filtrável e exportável.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Ação em massa com confirmação — a IA propõe uma alteração de dados, exibe um resumo do impacto (quantidade de registros, valores envolvidos) e só executa após confirmação explícita.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Cadastro ou atualização por formulário pré-preenchido — a IA identifica a intenção de cadastro, abre o formulário já existente no sistema com os campos extraídos da frase preenchidos, destaca o que falta, e delega a validação e o salvamento ao backend tradicional.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Log de auditoria — toda ação executada pela IA fica registrada de forma consultável, com autor, ferramenta, parâmetros e resultado.</w:t>
      </w:r>
    </w:p>
    <w:p>
      <w:pPr>
        <w:pStyle w:val="Heading1"/>
        <w:spacing w:after="200" w:before="400"/>
      </w:pPr>
      <w:r>
        <w:t xml:space="preserve">3. Arquitetura</w:t>
      </w:r>
    </w:p>
    <w:p>
      <w:pPr>
        <w:spacing w:after="200" w:line="300"/>
      </w:pPr>
      <w:r>
        <w:rPr>
          <w:sz w:val="22"/>
          <w:szCs w:val="22"/>
        </w:rPr>
        <w:t xml:space="preserve">O princípio arquitetural inegociável do projeto é que o modelo de linguagem nunca toca o banco de dados. O LLM é uma camada de decisão que escolhe, entre ferramentas pré-registradas pelo backend, qual invocar e com quais argumentos. Quem executa — valida, grava, audita — é o próprio sistema Laravel, de forma inteiramente determinística.</w:t>
      </w:r>
    </w:p>
    <w:p>
      <w:pPr>
        <w:spacing w:after="80" w:before="200"/>
        <w:jc w:val="center"/>
      </w:pPr>
      <w:r>
        <w:drawing>
          <wp:inline distT="0" distB="0" distL="0" distR="0">
            <wp:extent cx="409575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4441"/>
          <w:sz w:val="18"/>
          <w:szCs w:val="18"/>
        </w:rPr>
        <w:t xml:space="preserve">Figura 2 — Fluxo de execução de uma intenção do usuário através das quatro camadas do sistema.</w:t>
      </w:r>
    </w:p>
    <w:p>
      <w:pPr>
        <w:pStyle w:val="Heading2"/>
        <w:spacing w:after="150" w:before="300"/>
      </w:pPr>
      <w:r>
        <w:t xml:space="preserve">3.1 As quatro camadas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Camada de intenção (LLM) — interpreta a linguagem natural e decide qual ferramenta chamar; é a única camada não-determinística do sistema.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Camada de orquestração — service Laravel que monta o contexto e a lista de ferramentas disponíveis para o papel do usuário, envia ao LLM e gerencia o ciclo de raciocínio (que pode envolver mais de uma chamada em sequência).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Camada de ferramentas (tools) — funções explicitamente registradas e whitelisted; valida permissões (RBAC) e decide se a operação exige confirmação humana antes de prosseguir.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Camada de execução (MVC) — services, Form Requests e Eloquent já existentes no sistema; aplica toda validação de negócio, sem qualquer interferência da IA.</w:t>
      </w:r>
    </w:p>
    <w:p>
      <w:pPr>
        <w:spacing w:after="200" w:line="300"/>
      </w:pPr>
      <w:r>
        <w:rPr>
          <w:sz w:val="22"/>
          <w:szCs w:val="22"/>
        </w:rPr>
        <w:t xml:space="preserve">O resultado de cada operação é devolvido como um de poucos componentes de apresentação (bloco de texto, tabela editável, formulário pré-preenchido ou card de confirmação), e toda decisão da IA — executada, cancelada ou negada por permissão — é persistida em log de auditoria.</w:t>
      </w:r>
    </w:p>
    <w:p>
      <w:pPr>
        <w:pStyle w:val="Heading2"/>
        <w:spacing w:after="150" w:before="300"/>
      </w:pPr>
      <w:r>
        <w:t xml:space="preserve">3.2 Stack tecnológica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Backend: Laravel 12, Blade, Tailwind CSS (stack já dominada pela equipe nos protótipos anteriores).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Banco de dados: MySQL, com isolamento lógico multi-tenant.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Camada de IA: chamada HTTP à API de um provedor de LLM com suporte a tool calling (Azure OpenAI, mantendo coerência com o anteprojeto original e a certificação em curso, ou Anthropic API como alternativa).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Interface de chat: Blade e JavaScript vanilla, com polling simples ou Server-Sent Events para streaming de resposta — sem necessidade de WebSocket ou filas para o escopo de protótipo acadêmico.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Custo estimado de API para desenvolvimento e demonstração: da ordem de centavos por interação, irrisório para o orçamento de um TCC.</w:t>
      </w:r>
    </w:p>
    <w:p>
      <w:pPr>
        <w:pStyle w:val="Heading1"/>
        <w:spacing w:after="200" w:before="400"/>
      </w:pPr>
      <w:r>
        <w:t xml:space="preserve">4. Garantias de governança</w:t>
      </w:r>
    </w:p>
    <w:p>
      <w:pPr>
        <w:spacing w:after="200" w:line="300"/>
      </w:pPr>
      <w:r>
        <w:rPr>
          <w:sz w:val="22"/>
          <w:szCs w:val="22"/>
        </w:rPr>
        <w:t xml:space="preserve">A maturidade do projeto está menos na camada de IA e mais nas garantias de engenharia que a cercam. São cinco garantias que, juntas, respondem à objeção mais comum a esse tipo de sistema: "e se a IA errar ou for manipulada?"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Garantia</w:t>
            </w:r>
          </w:p>
        </w:tc>
        <w:tc>
          <w:tcPr>
            <w:tcW w:type="dxa" w:w="5800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é aplicada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Whitelist de ferramentas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IA só enxerga funções explicitamente registradas pelo backend; não existe caminho para execução de código ou consulta arbitrária.</w:t>
            </w:r>
          </w:p>
        </w:tc>
      </w:tr>
      <w:tr>
        <w:tc>
          <w:tcPr>
            <w:tcW w:type="dxa" w:w="32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RBAC por ferramenta</w:t>
            </w:r>
          </w:p>
        </w:tc>
        <w:tc>
          <w:tcPr>
            <w:tcW w:type="dxa" w:w="58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filtro de permissão ocorre antes da chamada ao LLM (o papel do usuário nem recebe a ferramenta na lista) e novamente na execução, como defesa em profundidade.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Confirmação humana (human-in-the-loop)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 operação de leitura executa direto; toda operação de escrita gera um card de confirmação explícita antes de qualquer INSERT, UPDATE ou DELETE.</w:t>
            </w:r>
          </w:p>
        </w:tc>
      </w:tr>
      <w:tr>
        <w:tc>
          <w:tcPr>
            <w:tcW w:type="dxa" w:w="32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Validação determinística</w:t>
            </w:r>
          </w:p>
        </w:tc>
        <w:tc>
          <w:tcPr>
            <w:tcW w:type="dxa" w:w="58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CPF, campos obrigatórios, regras de negócio e máscaras são validados pelo Form Request do Laravel — nunca pela IA.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Auditoria total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decisão da IA é persistida: usuário, ferramenta, parâmetros, horário e desfecho (executada, cancelada ou negada).</w:t>
            </w:r>
          </w:p>
        </w:tc>
      </w:tr>
    </w:tbl>
    <w:p>
      <w:pPr>
        <w:spacing w:after="200" w:line="300"/>
      </w:pPr>
      <w:r>
        <w:rPr>
          <w:sz w:val="22"/>
          <w:szCs w:val="22"/>
        </w:rPr>
        <w:t xml:space="preserve">Essas cinco garantias também constituem a resposta estrutural ao risco de manipulação de prompt (prompt injection): a regra de negócio não reside no texto trocado com o modelo, reside no backend determinístico. Um comando malicioso embutido na conversa não tem caminho de execução fora das ferramentas permitidas ao papel do usuário.</w:t>
      </w:r>
    </w:p>
    <w:p>
      <w:pPr>
        <w:pStyle w:val="Heading1"/>
        <w:spacing w:after="200" w:before="400"/>
      </w:pPr>
      <w:r>
        <w:t xml:space="preserve">5. Público-alvo e análise de mercado</w:t>
      </w:r>
    </w:p>
    <w:p>
      <w:pPr>
        <w:spacing w:after="200" w:line="300"/>
      </w:pPr>
      <w:r>
        <w:rPr>
          <w:sz w:val="22"/>
          <w:szCs w:val="22"/>
        </w:rPr>
        <w:t xml:space="preserve">A definição do público-alvo segue o mesmo rigor exigido do restante do projeto: apoiada em dados oficiais e recentes (Sebrae, 2025) em vez de suposição.</w:t>
      </w:r>
    </w:p>
    <w:p>
      <w:pPr>
        <w:spacing w:after="80" w:before="200"/>
        <w:jc w:val="center"/>
      </w:pPr>
      <w:r>
        <w:drawing>
          <wp:inline distT="0" distB="0" distL="0" distR="0">
            <wp:extent cx="40957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4441"/>
          <w:sz w:val="18"/>
          <w:szCs w:val="18"/>
        </w:rPr>
        <w:t xml:space="preserve">Figura 3 — Funil de definição do público-alvo com base em dados do Sebrae.</w:t>
      </w:r>
    </w:p>
    <w:p>
      <w:pPr>
        <w:pStyle w:val="Heading2"/>
        <w:spacing w:after="150" w:before="300"/>
      </w:pPr>
      <w:r>
        <w:t xml:space="preserve">5.1 O tamanho e a natureza do mercado</w:t>
      </w:r>
    </w:p>
    <w:p>
      <w:pPr>
        <w:spacing w:after="200" w:line="300"/>
      </w:pPr>
      <w:r>
        <w:rPr>
          <w:sz w:val="22"/>
          <w:szCs w:val="22"/>
        </w:rPr>
        <w:t xml:space="preserve">O Brasil encerrou o segundo quadrimestre de 2025 com 24,2 milhões de empresas ativas, das quais 93,8% são micro e pequenas empresas (22,7 milhões, incluindo microempreendedores individuais). O dado que sustenta a proposta, porém, é o de adoção de tecnologia de gestão: apenas 47% dos pequenos negócios brasileiros utilizam softwares ou aplicativos integrativos que auxiliam na gestão de todas ou boa parte das atividades. A maioria ainda opera com planilhas, cadernos ou troca de mensagens.</w:t>
      </w:r>
    </w:p>
    <w:p>
      <w:pPr>
        <w:pStyle w:val="Heading2"/>
        <w:spacing w:after="150" w:before="300"/>
      </w:pPr>
      <w:r>
        <w:t xml:space="preserve">5.2 O gargalo é a interface, não o acesso</w:t>
      </w:r>
    </w:p>
    <w:p>
      <w:pPr>
        <w:spacing w:after="200" w:line="300"/>
      </w:pPr>
      <w:r>
        <w:rPr>
          <w:sz w:val="22"/>
          <w:szCs w:val="22"/>
        </w:rPr>
        <w:t xml:space="preserve">Os dados descartam a hipótese de que o problema seja infraestrutura: 76% dos empreendedores já contam com computadores em suas atividades, e 88% usam internet no dia a dia. O uso, porém, é concentrado em redes sociais e serviços bancários — menos de 13% chegam a usar plataformas de gestão. A pesquisa de maturidade digital do Sebrae reforça o diagnóstico: dois terços dos pequenos negócios permanecem entre os níveis baixo e médio de maturidade digital, mesmo com acesso técnico disponível. O padrão observado é de um empreendedor fluente em interface de conversa (WhatsApp, redes sociais) e não familiarizado com interface de sistema (menus, módulos, cadastros) — exatamente o gap que a interface conversacional agêntica ataca.</w:t>
      </w:r>
    </w:p>
    <w:p>
      <w:pPr>
        <w:pStyle w:val="Heading2"/>
        <w:spacing w:after="150" w:before="300"/>
      </w:pPr>
      <w:r>
        <w:t xml:space="preserve">5.3 Definição do público-alvo</w:t>
      </w:r>
    </w:p>
    <w:p>
      <w:pPr>
        <w:spacing w:after="200" w:line="300"/>
      </w:pPr>
      <w:r>
        <w:rPr>
          <w:sz w:val="22"/>
          <w:szCs w:val="22"/>
        </w:rPr>
        <w:t xml:space="preserve">Com base nesses dados, a equipe define como público-alvo: micro e pequenas empresas brasileiras com aproximadamente 2 a 20 funcionários, geridas por um dono-operador sem departamento administrativo dedicado. Ficam fora do escopo: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O MEI solo — em geral opera sozinho, sem folha de pagamento ou estoque complexo; suas necessidades cabem em planilha simples e aplicativo bancário, com baixa disposição a pagar por um sistema de gestão.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A média empresa — já possui ERP implantado e equipe administrativa treinada; para quem já aprendeu os menus, clicar tende a ser mais rápido que redigir um comando.</w:t>
      </w:r>
    </w:p>
    <w:p>
      <w:pPr>
        <w:spacing w:after="200" w:line="300"/>
      </w:pPr>
      <w:r>
        <w:rPr>
          <w:sz w:val="22"/>
          <w:szCs w:val="22"/>
        </w:rPr>
        <w:t xml:space="preserve">O perfil ideal está no meio dessas duas pontas: um negócio complexo demais para planilha, mas ainda pequeno demais para justificar treinamento em um ERP tradicional — e cujo gestor administra o sistema nas brechas do próprio expediente.</w:t>
      </w:r>
    </w:p>
    <w:p>
      <w:pPr>
        <w:pStyle w:val="Heading3"/>
        <w:spacing w:after="120" w:before="240"/>
      </w:pPr>
      <w:r>
        <w:t xml:space="preserve">Nota metodológica</w:t>
      </w:r>
    </w:p>
    <w:p>
      <w:pPr>
        <w:spacing w:after="240" w:line="280"/>
      </w:pPr>
      <w:r>
        <w:rPr>
          <w:i/>
          <w:iCs/>
          <w:color w:val="444441"/>
          <w:sz w:val="20"/>
          <w:szCs w:val="20"/>
        </w:rPr>
        <w:t xml:space="preserve">A seção 5 apresenta estatísticas de fontes oficiais (Sebrae, Mapa de Empresas). A seção 6, a seguir, apresenta inferências e projeções da equipe construídas sobre esses dados — tratam-se de hipóteses argumentadas, não de fatos estabelecidos, e devem ser lidas e citadas nesse registro.</w:t>
      </w:r>
    </w:p>
    <w:p>
      <w:pPr>
        <w:pStyle w:val="Heading1"/>
        <w:spacing w:after="200" w:before="400"/>
      </w:pPr>
      <w:r>
        <w:t xml:space="preserve">6. Predições sobre o público-alvo</w:t>
      </w:r>
    </w:p>
    <w:p>
      <w:pPr>
        <w:spacing w:after="200" w:line="300"/>
      </w:pPr>
      <w:r>
        <w:rPr>
          <w:sz w:val="22"/>
          <w:szCs w:val="22"/>
        </w:rPr>
        <w:t xml:space="preserve">A partir da análise estatística, a equipe formula seis predições sobre a relação entre esse público e um sistema de interface conversacional. Cada uma é uma extrapolação argumentada, não um dado medido, e é apresentada como tal.</w:t>
      </w:r>
    </w:p>
    <w:p>
      <w:pPr>
        <w:pStyle w:val="Heading2"/>
        <w:spacing w:after="150" w:before="300"/>
      </w:pPr>
      <w:r>
        <w:t xml:space="preserve">6.1 O público cresce por substituição geracional</w:t>
      </w:r>
    </w:p>
    <w:p>
      <w:pPr>
        <w:spacing w:after="200" w:line="300"/>
      </w:pPr>
      <w:r>
        <w:rPr>
          <w:sz w:val="22"/>
          <w:szCs w:val="22"/>
        </w:rPr>
        <w:t xml:space="preserve">Entre empreendedores de até 34 anos, o uso de aplicativos de gestão já chega a 57%, contra 47% na média geral. Essa diferença não é ruído — é uma fotografia de coorte. Quem abre negócio hoje amadureceu digitalmente dentro de interfaces de conversa. A cada ciclo de renovação empresarial, a fração de gestores que espera interagir por linguagem natural tende a crescer, e a fração treinada em navegação por menus tende a diminuir. A predição é que o encaixe do produto com o mercado não é uma janela que se fecha, mas uma que se abre progressivamente.</w:t>
      </w:r>
    </w:p>
    <w:p>
      <w:pPr>
        <w:pStyle w:val="Heading2"/>
        <w:spacing w:after="150" w:before="300"/>
      </w:pPr>
      <w:r>
        <w:t xml:space="preserve">6.2 O mercado tende a pular a era do ERP tradicional (leapfrog)</w:t>
      </w:r>
    </w:p>
    <w:p>
      <w:pPr>
        <w:spacing w:after="200" w:line="300"/>
      </w:pPr>
      <w:r>
        <w:rPr>
          <w:sz w:val="22"/>
          <w:szCs w:val="22"/>
        </w:rPr>
        <w:t xml:space="preserve">Segue-se o padrão de salto tecnológico observado em outras transições brasileiras (o país que pulou o cheque e foi direto ao Pix). Os 53% de pequenos negócios que nunca adotaram software de gestão dificilmente passarão por uma fase intermediária de "aprender um ERP de menus"; sua primeira experiência com sistema estruturado tende a ser conversacional ou simplesmente não ocorrerá. Consequência prática: o concorrente direto do produto não é um ERP estabelecido, é a planilha e a conversa informal — o sistema não precisa superar concorrentes em quantidade de funcionalidades, precisa superar o caderno em conveniência.</w:t>
      </w:r>
    </w:p>
    <w:p>
      <w:pPr>
        <w:pStyle w:val="Heading2"/>
        <w:spacing w:after="150" w:before="300"/>
      </w:pPr>
      <w:r>
        <w:t xml:space="preserve">6.3 A adoção será decidida por confiança, não por capacidade técnica</w:t>
      </w:r>
    </w:p>
    <w:p>
      <w:pPr>
        <w:spacing w:after="200" w:line="300"/>
      </w:pPr>
      <w:r>
        <w:rPr>
          <w:sz w:val="22"/>
          <w:szCs w:val="22"/>
        </w:rPr>
        <w:t xml:space="preserve">O receio predominante nesse perfil de usuário é o de "clicar errado e estragar algo" — motivo frequente pelo qual esse público delega o sistema a terceiros (como o contador) e nunca o opera diretamente. A predição é que a retenção de um sistema como este correlacionará mais com a qualidade do fluxo de confirmação (mostrar o que vai acontecer antes de acontecer, permitir desfazer, explicar o resultado) do que com a quantidade de funcionalidades oferecidas. Isso eleva o card de confirmação de escrita de mero requisito de governança a principal mecanismo de construção de confiança do produto.</w:t>
      </w:r>
    </w:p>
    <w:p>
      <w:pPr>
        <w:pStyle w:val="Heading2"/>
        <w:spacing w:after="150" w:before="300"/>
      </w:pPr>
      <w:r>
        <w:t xml:space="preserve">6.4 O uso tenderá a ser móvel, fragmentado e, no Brasil, falado</w:t>
      </w:r>
    </w:p>
    <w:p>
      <w:pPr>
        <w:spacing w:after="200" w:line="300"/>
      </w:pPr>
      <w:r>
        <w:rPr>
          <w:sz w:val="22"/>
          <w:szCs w:val="22"/>
        </w:rPr>
        <w:t xml:space="preserve">O padrão de uso esperado é de sessões curtas e frequentes, predominantemente em celular, encaixadas nas brechas da operação — no balcão, entre atendimentos, no fechamento do dia. Um fator cultural específico do Brasil reforça essa predição: a cultura do áudio de WhatsApp. Um público que já administra fornecedores e clientes por mensagem de voz tende a tratar a entrada por voz não como recurso avançado, mas como expectativa natural de uso — item registrado como trabalho futuro do projeto.</w:t>
      </w:r>
    </w:p>
    <w:p>
      <w:pPr>
        <w:pStyle w:val="Heading2"/>
        <w:spacing w:after="150" w:before="300"/>
      </w:pPr>
      <w:r>
        <w:t xml:space="preserve">6.5 A interface estrutura o dado que hoje não existe — e reabre a predição original</w:t>
      </w:r>
    </w:p>
    <w:p>
      <w:pPr>
        <w:spacing w:after="200" w:line="300"/>
      </w:pPr>
      <w:r>
        <w:rPr>
          <w:sz w:val="22"/>
          <w:szCs w:val="22"/>
        </w:rPr>
        <w:t xml:space="preserve">Hoje esse público é, do ponto de vista de dados, praticamente invisível: sua operação vive em planilhas informais e conversas de WhatsApp, sem estrutura analisável. Ao capturar cada intenção do usuário como uma chamada de ferramenta tipada, o sistema estrutura esse dado no banco como efeito colateral do uso comum, sem exigir esforço adicional do usuário. Depois de meses de uso, esse negócio passa a ter, pela primeira vez, um histórico limpo e analisável.</w:t>
      </w:r>
    </w:p>
    <w:p>
      <w:pPr>
        <w:spacing w:after="80" w:before="200"/>
        <w:jc w:val="center"/>
      </w:pPr>
      <w:r>
        <w:drawing>
          <wp:inline distT="0" distB="0" distL="0" distR="0">
            <wp:extent cx="4381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4441"/>
          <w:sz w:val="18"/>
          <w:szCs w:val="18"/>
        </w:rPr>
        <w:t xml:space="preserve">Figura 4 — Ciclo pelo qual a interface conversacional viabiliza, no futuro, a camada preditiva do anteprojeto original.</w:t>
      </w:r>
    </w:p>
    <w:p>
      <w:pPr>
        <w:spacing w:after="200" w:line="300"/>
      </w:pPr>
      <w:r>
        <w:rPr>
          <w:sz w:val="22"/>
          <w:szCs w:val="22"/>
        </w:rPr>
        <w:t xml:space="preserve">Essa predição fecha um ciclo narrativo importante para o TCC: a camada de detecção de anomalias e manutenção preditiva do anteprojeto original — descartada por falta de dado histórico e de tempo hábil para treinamento — deixa de ser inviável e passa a ser um trabalho futuro natural, já apoiado sobre dados estruturados gerados pela própria interface conversacional.</w:t>
      </w:r>
    </w:p>
    <w:p>
      <w:pPr>
        <w:pStyle w:val="Heading2"/>
        <w:spacing w:after="150" w:before="300"/>
      </w:pPr>
      <w:r>
        <w:t xml:space="preserve">6.6 Risco previsto: fadiga de confirmação</w:t>
      </w:r>
    </w:p>
    <w:p>
      <w:pPr>
        <w:spacing w:after="200" w:line="300"/>
      </w:pPr>
      <w:r>
        <w:rPr>
          <w:sz w:val="22"/>
          <w:szCs w:val="22"/>
        </w:rPr>
        <w:t xml:space="preserve">À medida que a confiança no sistema cresce, é esperado que o usuário passe a confirmar ações automaticamente, sem revisar o conteúdo — o mesmo padrão observado na aceitação irrefletida de termos de uso. Como a tolerância a erro desse público é assimétrica (uma consulta errada é irrelevante; um pagamento errado é grave), a predição é que o sistema precisará de fricção proporcional ao risco da ação: confirmação simples para operações de baixo impacto, confirmação reforçada (segunda etapa, resumo de valores, ou similar) para ações financeiras ou em massa. Esse ponto é tratado como limitação de projeto na seção 9.</w:t>
      </w:r>
    </w:p>
    <w:p>
      <w:pPr>
        <w:pStyle w:val="Heading2"/>
        <w:spacing w:after="150" w:before="300"/>
      </w:pPr>
      <w:r>
        <w:t xml:space="preserve">6.7 Síntese</w:t>
      </w:r>
    </w:p>
    <w:p>
      <w:pPr>
        <w:spacing w:after="200" w:line="300"/>
      </w:pPr>
      <w:r>
        <w:rPr>
          <w:b/>
          <w:bCs/>
          <w:sz w:val="22"/>
          <w:szCs w:val="22"/>
        </w:rPr>
        <w:t xml:space="preserve">O público-alvo não se define apenas por porte de empresa, mas por um perfil cognitivo: gestores cuja alfabetização digital ocorreu em interfaces de conversa, administrando negócios complexos demais para planilha e simples demais para ERP. Esse grupo tende a crescer a cada ano e dificilmente será convertido por software de menus tradicionais.</w:t>
      </w:r>
    </w:p>
    <w:p>
      <w:pPr>
        <w:pStyle w:val="Heading1"/>
        <w:spacing w:after="200" w:before="400"/>
      </w:pPr>
      <w:r>
        <w:t xml:space="preserve">7. Protótipo de interface</w:t>
      </w:r>
    </w:p>
    <w:p>
      <w:pPr>
        <w:spacing w:after="200" w:line="300"/>
      </w:pPr>
      <w:r>
        <w:rPr>
          <w:sz w:val="22"/>
          <w:szCs w:val="22"/>
        </w:rPr>
        <w:t xml:space="preserve">O protótipo visual de baixa fidelidade foi desenvolvido no Figma e está disponível para consulta da equipe e do orientador em:</w:t>
      </w:r>
    </w:p>
    <w:p>
      <w:pPr>
        <w:spacing w:after="240"/>
      </w:pPr>
      <w:hyperlink w:history="1" r:id="rIdinllgo0zeg3sgals-epoh">
        <w:r>
          <w:rPr>
            <w:rStyle w:val="Hyperlink"/>
            <w:sz w:val="22"/>
            <w:szCs w:val="22"/>
          </w:rPr>
          <w:t xml:space="preserve">https://www.figma.com/design/CGcy71aZf172pjjyEqimTQ/Sentinel?node-id=2-7</w:t>
        </w:r>
      </w:hyperlink>
    </w:p>
    <w:p>
      <w:pPr>
        <w:spacing w:after="200" w:line="300"/>
      </w:pPr>
      <w:r>
        <w:rPr>
          <w:sz w:val="22"/>
          <w:szCs w:val="22"/>
        </w:rPr>
        <w:t xml:space="preserve">O protótipo cobre quatro telas que narram o ciclo completo de uso do sistema: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Tela 1 — Consulta conversacional: o usuário pergunta em linguagem natural e recebe uma tabela editável e exportável como resposta.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Tela 2 — Confirmação de ação em massa: a IA propõe uma alteração de dados, resume o impacto e aguarda confirmação explícita antes de gravar.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Tela 3 — Log de auditoria: histórico de ações da IA, incluindo ao menos um exemplo de ação negada por falta de permissão (RBAC em funcionamento).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Tela 4 — Formulário pré-preenchido: a IA identifica intenção de cadastro ou atualização e abre o formulário Blade já existente, com os campos extraídos da frase preenchidos e os campos obrigatórios faltantes destacados.</w:t>
      </w:r>
    </w:p>
    <w:p>
      <w:pPr>
        <w:spacing w:after="200" w:line="300"/>
      </w:pPr>
      <w:r>
        <w:rPr>
          <w:sz w:val="22"/>
          <w:szCs w:val="22"/>
        </w:rPr>
        <w:t xml:space="preserve">Essas quatro telas, apresentadas nessa ordem, funcionam como narrativa de pitch: "eu pergunto, o sistema responde com dado real; eu peço para agir, ele confirma antes de agir; e tudo fica auditado" — e tornam explícitos, só pela sequência, os três principais requisitos não-funcionais do projeto (confirmação, auditoria e controle de acesso).</w:t>
      </w:r>
    </w:p>
    <w:p>
      <w:pPr>
        <w:pStyle w:val="Heading1"/>
        <w:spacing w:after="200" w:before="400"/>
      </w:pPr>
      <w:r>
        <w:t xml:space="preserve">8. Requisitos preliminares</w:t>
      </w:r>
    </w:p>
    <w:p>
      <w:pPr>
        <w:spacing w:after="240" w:line="280"/>
      </w:pPr>
      <w:r>
        <w:rPr>
          <w:i/>
          <w:iCs/>
          <w:color w:val="444441"/>
          <w:sz w:val="20"/>
          <w:szCs w:val="20"/>
        </w:rPr>
        <w:t xml:space="preserve">Os requisitos abaixo são independentes do domínio de aplicação (manutenção, confecção, escolar ou outro). Quando a equipe definir o domínio do protótipo, cada requisito recebe os substantivos específicos (ex.: "funcionário" torna-se "aluno" no domínio escolar).</w:t>
      </w:r>
    </w:p>
    <w:p>
      <w:pPr>
        <w:pStyle w:val="Heading2"/>
        <w:spacing w:after="150" w:before="300"/>
      </w:pPr>
      <w:r>
        <w:t xml:space="preserve">8.1 Requisitos funcionais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00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RF01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interpretar comandos em linguagem natural e mapeá-los para operações válidas do sistema.</w:t>
            </w:r>
          </w:p>
        </w:tc>
      </w:tr>
      <w:tr>
        <w:tc>
          <w:tcPr>
            <w:tcW w:type="dxa" w:w="13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RF02</w:t>
            </w:r>
          </w:p>
        </w:tc>
        <w:tc>
          <w:tcPr>
            <w:tcW w:type="dxa" w:w="77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consultar registros com filtros expressos em linguagem natural e retornar tabela editável e exportável.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RF03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executar ações em massa sobre registros somente mediante confirmação explícita do usuário.</w:t>
            </w:r>
          </w:p>
        </w:tc>
      </w:tr>
      <w:tr>
        <w:tc>
          <w:tcPr>
            <w:tcW w:type="dxa" w:w="13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RF04</w:t>
            </w:r>
          </w:p>
        </w:tc>
        <w:tc>
          <w:tcPr>
            <w:tcW w:type="dxa" w:w="77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cadastro e atualização de registros por formulário pré-preenchido, invocado pela IA a partir da intenção do usuário.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RF05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manter as telas de CRUD tradicionais disponíveis como via alternativa de operação.</w:t>
            </w:r>
          </w:p>
        </w:tc>
      </w:tr>
      <w:tr>
        <w:tc>
          <w:tcPr>
            <w:tcW w:type="dxa" w:w="13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RF06</w:t>
            </w:r>
          </w:p>
        </w:tc>
        <w:tc>
          <w:tcPr>
            <w:tcW w:type="dxa" w:w="77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registrar em log toda ação executada, cancelada ou negada pela camada de IA, com autor, ferramenta, parâmetros e horário.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RF07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consulta e filtragem do log de auditoria pelos usuários autorizados.</w:t>
            </w:r>
          </w:p>
        </w:tc>
      </w:tr>
    </w:tbl>
    <w:p>
      <w:pPr>
        <w:pStyle w:val="Heading2"/>
        <w:spacing w:after="150" w:before="300"/>
      </w:pPr>
      <w:r>
        <w:t xml:space="preserve">8.2 Requisitos não-funcionais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00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RNF01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controle de acesso por papel (RBAC) deve ser aplicado às ferramentas que a IA pode invocar, não apenas às telas do sistema.</w:t>
            </w:r>
          </w:p>
        </w:tc>
      </w:tr>
      <w:tr>
        <w:tc>
          <w:tcPr>
            <w:tcW w:type="dxa" w:w="13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RNF02</w:t>
            </w:r>
          </w:p>
        </w:tc>
        <w:tc>
          <w:tcPr>
            <w:tcW w:type="dxa" w:w="77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 operação de escrita (criação, edição ou exclusão de dados) deve exigir confirmação humana explícita antes da execução.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RNF03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validação de dados deve ocorrer exclusivamente no backend (Form Requests), independentemente da entrada ter sido processada pela IA.</w:t>
            </w:r>
          </w:p>
        </w:tc>
      </w:tr>
      <w:tr>
        <w:tc>
          <w:tcPr>
            <w:tcW w:type="dxa" w:w="13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RNF04</w:t>
            </w:r>
          </w:p>
        </w:tc>
        <w:tc>
          <w:tcPr>
            <w:tcW w:type="dxa" w:w="77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tempo de resposta de uma interação típica deve ser mensurável e mantido dentro de um limite aceitável (referência inicial: até 10 segundos).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RNF05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degradar graciosamente: em caso de indisponibilidade da API de IA, o CRUD tradicional deve continuar plenamente operável.</w:t>
            </w:r>
          </w:p>
        </w:tc>
      </w:tr>
      <w:tr>
        <w:tc>
          <w:tcPr>
            <w:tcW w:type="dxa" w:w="13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RNF06</w:t>
            </w:r>
          </w:p>
        </w:tc>
        <w:tc>
          <w:tcPr>
            <w:tcW w:type="dxa" w:w="77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isolamento de dados entre tenants deve ser garantido em todas as camadas, inclusive nas ferramentas expostas à IA.</w:t>
            </w:r>
          </w:p>
        </w:tc>
      </w:tr>
    </w:tbl>
    <w:p>
      <w:pPr>
        <w:pStyle w:val="Heading1"/>
        <w:spacing w:after="200" w:before="400"/>
      </w:pPr>
      <w:r>
        <w:t xml:space="preserve">9. Limitações reconhecidas</w:t>
      </w:r>
    </w:p>
    <w:p>
      <w:pPr>
        <w:spacing w:after="200" w:line="300"/>
      </w:pPr>
      <w:r>
        <w:rPr>
          <w:sz w:val="22"/>
          <w:szCs w:val="22"/>
        </w:rPr>
        <w:t xml:space="preserve">A declaração explícita de limitações é parte da maturidade metodológica do projeto e antecipa questionamentos previsíveis da banca avaliadora.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Dependência de conectividade e de serviço de terceiros: o sistema depende de disponibilidade da API do provedor de LLM escolhido.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Latência: usuários experientes em um domínio podem perceber o comando em linguagem natural como mais lento que o clique direto em uma ação já memorizada.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Interpretação ambígua: comandos mal formulados podem gerar interpretação incorreta pela IA — mitigado pela exigência de confirmação em toda escrita, mas não eliminado em leituras.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Custo variável por uso: cada interação com a API tem custo monetário associado, ainda que baixo, o que difere do custo fixo de um CRUD tradicional.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Fadiga de confirmação: conforme detalhado na predição 6.6, o risco de confirmação automática sem revisão tende a crescer com o tempo de uso e exige desenho de fricção proporcional ao risco da ação.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Escopo de protótipo acadêmico: o sistema não implementa hardening de produção (ex.: rate limiting avançado, observabilidade completa, filas assíncronas), por não ser esse o objetivo do TCC.</w:t>
      </w:r>
    </w:p>
    <w:p>
      <w:pPr>
        <w:pStyle w:val="Heading1"/>
        <w:spacing w:after="200" w:before="400"/>
      </w:pPr>
      <w:r>
        <w:t xml:space="preserve">10. Próximos passos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Definição, em reunião de equipe, do domínio de aplicação do protótipo (manutenção, confecção, escolar ou outro), a partir dos critérios: maturidade do código-base a ser reaproveitado, força dos exemplos de comando para demonstração, e clareza de justificativa da persona perante a banca.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Revisão do nome do projeto à luz do novo escopo, se a equipe considerar pertinente.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Detalhamento da modelagem de dados e do catálogo de ferramentas (tools) por domínio escolhido.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Evolução do protótipo Figma para alta fidelidade, incorporando o feedback do orientador.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Definição de cronograma de sprints para a fase de desenvolvimento, seguindo o padrão de planejamento já utilizado nos protótipos anteriores da equipe (GMP, Confecção TA).</w:t>
      </w:r>
    </w:p>
    <w:p>
      <w:pPr>
        <w:pStyle w:val="Heading1"/>
        <w:spacing w:after="200" w:before="400"/>
      </w:pPr>
      <w:r>
        <w:t xml:space="preserve">Referências</w:t>
      </w:r>
    </w:p>
    <w:p>
      <w:pPr>
        <w:spacing w:after="200" w:line="300"/>
      </w:pPr>
      <w:r>
        <w:rPr>
          <w:sz w:val="22"/>
          <w:szCs w:val="22"/>
        </w:rPr>
        <w:t xml:space="preserve">NIELSEN, J. AI as a Paradigm Shift in User Interfaces. Nielsen Norman Group, 2023.</w:t>
      </w:r>
    </w:p>
    <w:p>
      <w:pPr>
        <w:spacing w:after="200" w:line="300"/>
      </w:pPr>
      <w:r>
        <w:rPr>
          <w:sz w:val="22"/>
          <w:szCs w:val="22"/>
        </w:rPr>
        <w:t xml:space="preserve">YAO, S. et al. ReAct: Synergizing Reasoning and Acting in Language Models. arXiv:2210.03629, 2022.</w:t>
      </w:r>
    </w:p>
    <w:p>
      <w:pPr>
        <w:spacing w:after="200" w:line="300"/>
      </w:pPr>
      <w:r>
        <w:rPr>
          <w:sz w:val="22"/>
          <w:szCs w:val="22"/>
        </w:rPr>
        <w:t xml:space="preserve">SEBRAE. Mapa de Empresas — 2º quadrimestre de 2025. Ministério do Empreendedorismo, da Microempresa e da Empresa de Pequeno Porte, 2025.</w:t>
      </w:r>
    </w:p>
    <w:p>
      <w:pPr>
        <w:spacing w:after="200" w:line="300"/>
      </w:pPr>
      <w:r>
        <w:rPr>
          <w:sz w:val="22"/>
          <w:szCs w:val="22"/>
        </w:rPr>
        <w:t xml:space="preserve">SEBRAE. Pesquisa TIC 2025 — Transformação Digital nos Pequenos Negócios. Sebrae/PR, 2025.</w:t>
      </w:r>
    </w:p>
    <w:p>
      <w:pPr>
        <w:spacing w:after="200" w:line="300"/>
      </w:pPr>
      <w:r>
        <w:rPr>
          <w:sz w:val="22"/>
          <w:szCs w:val="22"/>
        </w:rPr>
        <w:t xml:space="preserve">SEBRAE. Pesquisa de Maturidade Digital dos Pequenos Negócios no Brasil. Sebrae/PR, 2024–2025.</w:t>
      </w:r>
    </w:p>
    <w:p>
      <w:pPr>
        <w:spacing w:after="200" w:line="300"/>
      </w:pPr>
      <w:r>
        <w:rPr>
          <w:sz w:val="22"/>
          <w:szCs w:val="22"/>
        </w:rPr>
        <w:t xml:space="preserve">MICROSOFT. Anomaly Detector — What's New / FAQ. Microsoft Learn, Azure AI Services, 2025–2026.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2621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b/>
      <w:bCs/>
      <w:color w:val="2C2C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nllgo0zeg3sgals-epoh" Type="http://schemas.openxmlformats.org/officeDocument/2006/relationships/hyperlink" Target="https://www.figma.com/design/CGcy71aZf172pjjyEqimTQ/Sentinel?node-id=2-7" TargetMode="External"/><Relationship Id="rId7" Type="http://schemas.openxmlformats.org/officeDocument/2006/relationships/image" Target="media/136df65c32f02df568abf98c955cb5adec8c37fd.png"/><Relationship Id="rId8" Type="http://schemas.openxmlformats.org/officeDocument/2006/relationships/image" Target="media/333e4cb87f004e4225fa564abce91d17fd315068.png"/><Relationship Id="rId9" Type="http://schemas.openxmlformats.org/officeDocument/2006/relationships/image" Target="media/0cdbace0871e7131f118da4e6936adbfd609f9cb.png"/><Relationship Id="rId10" Type="http://schemas.openxmlformats.org/officeDocument/2006/relationships/image" Target="media/475f38408ec60a0330e17bdce6dcb561f8576e0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2026-08-10T19:06:16.891Z</dcterms:created>
  <dcterms:modified xsi:type="dcterms:W3CDTF">2026-08-10T19:06:16.891Z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