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D99E" w14:textId="77777777" w:rsidR="006E20DA" w:rsidRPr="008F0039" w:rsidRDefault="006E20DA">
      <w:pPr>
        <w:spacing w:before="2000"/>
        <w:rPr>
          <w:rFonts w:ascii="Times New Roman" w:hAnsi="Times New Roman" w:cs="Times New Roman"/>
        </w:rPr>
      </w:pPr>
    </w:p>
    <w:p w14:paraId="7CE37C9A" w14:textId="77777777" w:rsidR="006E20DA" w:rsidRPr="008F0039" w:rsidRDefault="00000000">
      <w:pPr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color w:val="444441"/>
          <w:sz w:val="24"/>
          <w:szCs w:val="24"/>
        </w:rPr>
        <w:t>SENAI Limeira/SP</w:t>
      </w:r>
    </w:p>
    <w:p w14:paraId="3E302A0A" w14:textId="77777777" w:rsidR="006E20DA" w:rsidRPr="008F0039" w:rsidRDefault="00000000">
      <w:pPr>
        <w:spacing w:before="100"/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color w:val="444441"/>
          <w:sz w:val="24"/>
          <w:szCs w:val="24"/>
        </w:rPr>
        <w:t>Curso Técnico em Desenvolvimento de Sistemas — 3º DEV-A</w:t>
      </w:r>
    </w:p>
    <w:p w14:paraId="58C9927B" w14:textId="77777777" w:rsidR="006E20DA" w:rsidRPr="008F0039" w:rsidRDefault="006E20DA">
      <w:pPr>
        <w:spacing w:before="1600"/>
        <w:rPr>
          <w:rFonts w:ascii="Times New Roman" w:hAnsi="Times New Roman" w:cs="Times New Roman"/>
        </w:rPr>
      </w:pPr>
    </w:p>
    <w:p w14:paraId="48055226" w14:textId="77777777" w:rsidR="006E20DA" w:rsidRPr="008F0039" w:rsidRDefault="00000000">
      <w:pPr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b/>
          <w:bCs/>
          <w:color w:val="26215C"/>
          <w:sz w:val="56"/>
          <w:szCs w:val="56"/>
        </w:rPr>
        <w:t>SENTINEL</w:t>
      </w:r>
    </w:p>
    <w:p w14:paraId="0F2D5100" w14:textId="5A4F65C5" w:rsidR="006E20DA" w:rsidRPr="008F0039" w:rsidRDefault="00000000">
      <w:pPr>
        <w:spacing w:before="200"/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color w:val="0F6E56"/>
          <w:sz w:val="30"/>
          <w:szCs w:val="30"/>
        </w:rPr>
        <w:t xml:space="preserve">Interface Conversacional </w:t>
      </w:r>
      <w:proofErr w:type="spellStart"/>
      <w:r w:rsidRPr="008F0039">
        <w:rPr>
          <w:rFonts w:ascii="Times New Roman" w:hAnsi="Times New Roman" w:cs="Times New Roman"/>
          <w:color w:val="0F6E56"/>
          <w:sz w:val="30"/>
          <w:szCs w:val="30"/>
        </w:rPr>
        <w:t>Agênti</w:t>
      </w:r>
      <w:r w:rsidR="008F0039" w:rsidRPr="008F0039">
        <w:rPr>
          <w:rFonts w:ascii="Times New Roman" w:hAnsi="Times New Roman" w:cs="Times New Roman"/>
          <w:color w:val="0F6E56"/>
          <w:sz w:val="30"/>
          <w:szCs w:val="30"/>
        </w:rPr>
        <w:t>v</w:t>
      </w:r>
      <w:r w:rsidRPr="008F0039">
        <w:rPr>
          <w:rFonts w:ascii="Times New Roman" w:hAnsi="Times New Roman" w:cs="Times New Roman"/>
          <w:color w:val="0F6E56"/>
          <w:sz w:val="30"/>
          <w:szCs w:val="30"/>
        </w:rPr>
        <w:t>a</w:t>
      </w:r>
      <w:proofErr w:type="spellEnd"/>
      <w:r w:rsidRPr="008F0039">
        <w:rPr>
          <w:rFonts w:ascii="Times New Roman" w:hAnsi="Times New Roman" w:cs="Times New Roman"/>
          <w:color w:val="0F6E56"/>
          <w:sz w:val="30"/>
          <w:szCs w:val="30"/>
        </w:rPr>
        <w:t xml:space="preserve"> sobre Sistema MVC</w:t>
      </w:r>
    </w:p>
    <w:p w14:paraId="588934A1" w14:textId="77777777" w:rsidR="006E20DA" w:rsidRPr="008F0039" w:rsidRDefault="00000000">
      <w:pPr>
        <w:spacing w:before="100"/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i/>
          <w:iCs/>
          <w:color w:val="444441"/>
        </w:rPr>
        <w:t>Documento de concepção — versão para apresentação ao orientador e à equipe</w:t>
      </w:r>
    </w:p>
    <w:p w14:paraId="22B4F735" w14:textId="77777777" w:rsidR="006E20DA" w:rsidRPr="008F0039" w:rsidRDefault="006E20DA">
      <w:pPr>
        <w:spacing w:before="1600"/>
        <w:rPr>
          <w:rFonts w:ascii="Times New Roman" w:hAnsi="Times New Roman" w:cs="Times New Roman"/>
        </w:rPr>
      </w:pPr>
    </w:p>
    <w:p w14:paraId="137C6341" w14:textId="1B4568B0" w:rsidR="006E20DA" w:rsidRPr="008F0039" w:rsidRDefault="00000000">
      <w:pPr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Equipe: Lucas Terminiello, Matheus Malaman, Jefferson Bruno C. Miguel, </w:t>
      </w:r>
      <w:r w:rsidR="0074250E" w:rsidRPr="008F0039">
        <w:rPr>
          <w:rFonts w:ascii="Times New Roman" w:hAnsi="Times New Roman" w:cs="Times New Roman"/>
        </w:rPr>
        <w:t>Júlio Cena</w:t>
      </w:r>
    </w:p>
    <w:p w14:paraId="25F87487" w14:textId="77777777" w:rsidR="006E20DA" w:rsidRPr="008F0039" w:rsidRDefault="00000000">
      <w:pPr>
        <w:spacing w:before="100"/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Limeira, agosto de 2026</w:t>
      </w:r>
    </w:p>
    <w:p w14:paraId="2888EBC9" w14:textId="385E556C" w:rsidR="006E20DA" w:rsidRPr="008F0039" w:rsidRDefault="00000000" w:rsidP="008F0039">
      <w:pPr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br w:type="page"/>
      </w:r>
    </w:p>
    <w:sdt>
      <w:sdtPr>
        <w:rPr>
          <w:rFonts w:ascii="Times New Roman" w:hAnsi="Times New Roman" w:cs="Times New Roman"/>
        </w:rPr>
        <w:id w:val="-172412537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color w:val="auto"/>
          <w:sz w:val="22"/>
          <w:szCs w:val="22"/>
        </w:rPr>
      </w:sdtEndPr>
      <w:sdtContent>
        <w:p w14:paraId="0D4D7620" w14:textId="642116B5" w:rsidR="008F0039" w:rsidRPr="008F0039" w:rsidRDefault="008F0039">
          <w:pPr>
            <w:pStyle w:val="CabealhodoSumrio"/>
            <w:rPr>
              <w:rFonts w:ascii="Times New Roman" w:hAnsi="Times New Roman" w:cs="Times New Roman"/>
              <w:b/>
              <w:bCs/>
              <w:color w:val="auto"/>
            </w:rPr>
          </w:pPr>
          <w:r w:rsidRPr="008F0039">
            <w:rPr>
              <w:rFonts w:ascii="Times New Roman" w:hAnsi="Times New Roman" w:cs="Times New Roman"/>
              <w:b/>
              <w:bCs/>
              <w:color w:val="auto"/>
            </w:rPr>
            <w:t>Sumário</w:t>
          </w:r>
        </w:p>
        <w:p w14:paraId="7F676BDB" w14:textId="4114C6E1" w:rsidR="008F0039" w:rsidRPr="008F0039" w:rsidRDefault="008F0039">
          <w:pPr>
            <w:pStyle w:val="Sumrio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r w:rsidRPr="008F0039">
            <w:rPr>
              <w:rFonts w:ascii="Times New Roman" w:hAnsi="Times New Roman" w:cs="Times New Roman"/>
            </w:rPr>
            <w:fldChar w:fldCharType="begin"/>
          </w:r>
          <w:r w:rsidRPr="008F0039">
            <w:rPr>
              <w:rFonts w:ascii="Times New Roman" w:hAnsi="Times New Roman" w:cs="Times New Roman"/>
            </w:rPr>
            <w:instrText xml:space="preserve"> TOC \o "1-3" \h \z \u </w:instrText>
          </w:r>
          <w:r w:rsidRPr="008F0039">
            <w:rPr>
              <w:rFonts w:ascii="Times New Roman" w:hAnsi="Times New Roman" w:cs="Times New Roman"/>
            </w:rPr>
            <w:fldChar w:fldCharType="separate"/>
          </w:r>
          <w:hyperlink w:anchor="_Toc239075084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Sumário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_Toc239075084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A1B482" w14:textId="0FB1EFB0" w:rsidR="008F0039" w:rsidRPr="008F0039" w:rsidRDefault="008F0039">
          <w:pPr>
            <w:pStyle w:val="Sumrio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085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1. Contexto e motivação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_Toc239075085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96B41E" w14:textId="48A6C6E4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086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1.1 Inviabilidade técnica do caminho original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_Toc239075086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88DB62" w14:textId="5CCCA674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087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1.2 Uma oportunidade mais forte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_Toc239075087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551B70" w14:textId="40B04266" w:rsidR="008F0039" w:rsidRPr="008F0039" w:rsidRDefault="008F0039">
          <w:pPr>
            <w:pStyle w:val="Sumrio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088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2. Conceito central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_Toc239075088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0A738E" w14:textId="479D50E0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089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2.1 Exemplo de uso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_Toc239075089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FFB638" w14:textId="6EC94EBE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090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2.2 Fundamentação teórica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_Toc239075090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FE85EC" w14:textId="6C79048F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091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2.3 Os quatro padrões de interação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_Toc239075091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6460B7" w14:textId="0E854A83" w:rsidR="008F0039" w:rsidRPr="008F0039" w:rsidRDefault="008F0039">
          <w:pPr>
            <w:pStyle w:val="Sumrio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092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3. Arquitetura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_Toc239075092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DF05E0" w14:textId="4756519B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093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3.1 As quatro camadas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_Toc239075093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F14175" w14:textId="7D902249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094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3.2 Stack tecnológica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_Toc239075094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69129A" w14:textId="5AD40E94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095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3.3 Resiliência a falhas de conectividade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_Toc239075095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FB6368" w14:textId="7B4F2E62" w:rsidR="008F0039" w:rsidRPr="008F0039" w:rsidRDefault="008F0039">
          <w:pPr>
            <w:pStyle w:val="Sumrio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096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4. Garantias de governança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_Toc239075096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214EDE" w14:textId="2583E1F8" w:rsidR="008F0039" w:rsidRPr="008F0039" w:rsidRDefault="008F0039">
          <w:pPr>
            <w:pStyle w:val="Sumrio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097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5. Público-alvo e análise de mercado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_Toc239075097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DB7C6F" w14:textId="192E85BB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098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5.1 O tamanho e a natureza do mercado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_Toc239075098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41635F" w14:textId="60F4E332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099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5.2 O gargalo é a interface, não o acesso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_Toc239075099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8E246D" w14:textId="44B38D9B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00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5.3 Definição do público-alvo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_Toc239075100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185F88" w14:textId="0501DEF0" w:rsidR="008F0039" w:rsidRPr="008F0039" w:rsidRDefault="008F0039">
          <w:pPr>
            <w:pStyle w:val="Sumrio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01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Nota metodológica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_Toc239075101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15E103" w14:textId="2698797E" w:rsidR="008F0039" w:rsidRPr="008F0039" w:rsidRDefault="008F0039">
          <w:pPr>
            <w:pStyle w:val="Sumrio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02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6. Predições sobre o público-alvo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_Toc239075102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660C8D" w14:textId="4DE451F6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03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6.1 O público cresce por substituição geracional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_Toc239075103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FC5C9B" w14:textId="05D765FD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04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6.2 O mercado tende a pular a era do ERP tradicional (leapfrog)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_Toc239075104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7988EB" w14:textId="76006332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05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6.3 A adoção será decidida por confiança, não por capacidade técnica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_Toc239075105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865458" w14:textId="4663A2F7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06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6.4 O uso tenderá a ser móvel, fragmentado e, no Brasil, falado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_Toc239075106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5E9DEB" w14:textId="138ED177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07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6.5 A interface estrutura o dado que hoje não existe — e reabre a predição original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_Toc239075107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DD1412" w14:textId="3879AB71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08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6.6 Risco previsto: fadiga de confirmação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_Toc239075108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57A5E5" w14:textId="218ADB16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09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6.7 Síntese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_Toc239075109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84143E" w14:textId="125FF686" w:rsidR="008F0039" w:rsidRPr="008F0039" w:rsidRDefault="008F0039">
          <w:pPr>
            <w:pStyle w:val="Sumrio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10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7. Protótipo de interface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_Toc239075110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093E07" w14:textId="22992A1A" w:rsidR="008F0039" w:rsidRPr="008F0039" w:rsidRDefault="008F0039">
          <w:pPr>
            <w:pStyle w:val="Sumrio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11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8. Requisitos preliminares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_Toc239075111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9D7286" w14:textId="000D67BB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12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8.1 Requisitos funcionais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_Toc239075112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3F72AB" w14:textId="4D619CA5" w:rsidR="008F0039" w:rsidRPr="008F0039" w:rsidRDefault="008F0039">
          <w:pPr>
            <w:pStyle w:val="Sumrio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13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8.2 Requisitos não-funcionais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_Toc239075113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1EEADA" w14:textId="41B7AA39" w:rsidR="008F0039" w:rsidRPr="008F0039" w:rsidRDefault="008F0039">
          <w:pPr>
            <w:pStyle w:val="Sumrio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14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9. Limitações reconhecidas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_Toc239075114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249A23" w14:textId="28D13F60" w:rsidR="008F0039" w:rsidRPr="008F0039" w:rsidRDefault="008F0039">
          <w:pPr>
            <w:pStyle w:val="Sumrio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15" w:history="1">
            <w:r w:rsidRPr="008F0039">
              <w:rPr>
                <w:rStyle w:val="Hyperlink"/>
                <w:rFonts w:ascii="Times New Roman" w:hAnsi="Times New Roman" w:cs="Times New Roman"/>
                <w:noProof/>
              </w:rPr>
              <w:t>10. Próximos passos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_Toc239075115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3A34F7" w14:textId="047B26EB" w:rsidR="008F0039" w:rsidRPr="008F0039" w:rsidRDefault="008F0039">
          <w:pPr>
            <w:pStyle w:val="Sumrio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39075116" w:history="1">
            <w:r w:rsidRPr="008F003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Referências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instrText xml:space="preserve"> PAGEREF _Toc239075116 \h </w:instrTex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8F00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B95083" w14:textId="0390C6A3" w:rsidR="008F0039" w:rsidRPr="008F0039" w:rsidRDefault="008F0039">
          <w:pPr>
            <w:rPr>
              <w:rFonts w:ascii="Times New Roman" w:hAnsi="Times New Roman" w:cs="Times New Roman"/>
            </w:rPr>
          </w:pPr>
          <w:r w:rsidRPr="008F003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9CE6B81" w14:textId="77777777" w:rsidR="006E20DA" w:rsidRPr="008F0039" w:rsidRDefault="00000000">
      <w:pPr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br w:type="page"/>
      </w:r>
    </w:p>
    <w:p w14:paraId="4EFED821" w14:textId="77777777" w:rsidR="006E20DA" w:rsidRPr="008F0039" w:rsidRDefault="00000000">
      <w:pPr>
        <w:pStyle w:val="Ttulo1"/>
        <w:rPr>
          <w:rFonts w:ascii="Times New Roman" w:hAnsi="Times New Roman" w:cs="Times New Roman"/>
        </w:rPr>
      </w:pPr>
      <w:bookmarkStart w:id="0" w:name="_Toc239075085"/>
      <w:r w:rsidRPr="008F0039">
        <w:rPr>
          <w:rFonts w:ascii="Times New Roman" w:hAnsi="Times New Roman" w:cs="Times New Roman"/>
        </w:rPr>
        <w:lastRenderedPageBreak/>
        <w:t>1. Contexto e motivação</w:t>
      </w:r>
      <w:bookmarkEnd w:id="0"/>
    </w:p>
    <w:p w14:paraId="21B64C09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O projeto Sentinel nasceu no anteprojeto original como uma plataforma SaaS </w:t>
      </w:r>
      <w:proofErr w:type="spellStart"/>
      <w:r w:rsidRPr="008F0039">
        <w:rPr>
          <w:rFonts w:ascii="Times New Roman" w:hAnsi="Times New Roman" w:cs="Times New Roman"/>
        </w:rPr>
        <w:t>multi-tenant</w:t>
      </w:r>
      <w:proofErr w:type="spellEnd"/>
      <w:r w:rsidRPr="008F0039">
        <w:rPr>
          <w:rFonts w:ascii="Times New Roman" w:hAnsi="Times New Roman" w:cs="Times New Roman"/>
        </w:rPr>
        <w:t xml:space="preserve"> de detecção de anomalias e manutenção preditiva, apoiada em serviços de IA do Azure. Durante o aprofundamento técnico da proposta, dois problemas concretos motivaram a revisão do conceito.</w:t>
      </w:r>
    </w:p>
    <w:p w14:paraId="698FAF90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1" w:name="_Toc239075086"/>
      <w:r w:rsidRPr="008F0039">
        <w:rPr>
          <w:rFonts w:ascii="Times New Roman" w:hAnsi="Times New Roman" w:cs="Times New Roman"/>
        </w:rPr>
        <w:t>1.1 Inviabilidade técnica do caminho original</w:t>
      </w:r>
      <w:bookmarkEnd w:id="1"/>
    </w:p>
    <w:p w14:paraId="484F0D4A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O Azure AI </w:t>
      </w:r>
      <w:proofErr w:type="spellStart"/>
      <w:r w:rsidRPr="008F0039">
        <w:rPr>
          <w:rFonts w:ascii="Times New Roman" w:hAnsi="Times New Roman" w:cs="Times New Roman"/>
        </w:rPr>
        <w:t>Anomaly</w:t>
      </w:r>
      <w:proofErr w:type="spellEnd"/>
      <w:r w:rsidRPr="008F0039">
        <w:rPr>
          <w:rFonts w:ascii="Times New Roman" w:hAnsi="Times New Roman" w:cs="Times New Roman"/>
        </w:rPr>
        <w:t xml:space="preserve"> Detector, serviço que embasava a camada preditiva do anteprojeto, está sendo descontinuado pela Microsoft. Desde setembro de 2023 não é mais possível </w:t>
      </w:r>
      <w:proofErr w:type="gramStart"/>
      <w:r w:rsidRPr="008F0039">
        <w:rPr>
          <w:rFonts w:ascii="Times New Roman" w:hAnsi="Times New Roman" w:cs="Times New Roman"/>
        </w:rPr>
        <w:t>criar novos</w:t>
      </w:r>
      <w:proofErr w:type="gramEnd"/>
      <w:r w:rsidRPr="008F0039">
        <w:rPr>
          <w:rFonts w:ascii="Times New Roman" w:hAnsi="Times New Roman" w:cs="Times New Roman"/>
        </w:rPr>
        <w:t xml:space="preserve"> recursos do serviço, e sua aposentadoria definitiva ocorre em 1º de outubro de 2026 — junto com o </w:t>
      </w:r>
      <w:proofErr w:type="spellStart"/>
      <w:r w:rsidRPr="008F0039">
        <w:rPr>
          <w:rFonts w:ascii="Times New Roman" w:hAnsi="Times New Roman" w:cs="Times New Roman"/>
        </w:rPr>
        <w:t>Metrics</w:t>
      </w:r>
      <w:proofErr w:type="spellEnd"/>
      <w:r w:rsidRPr="008F0039">
        <w:rPr>
          <w:rFonts w:ascii="Times New Roman" w:hAnsi="Times New Roman" w:cs="Times New Roman"/>
        </w:rPr>
        <w:t xml:space="preserve"> </w:t>
      </w:r>
      <w:proofErr w:type="spellStart"/>
      <w:r w:rsidRPr="008F0039">
        <w:rPr>
          <w:rFonts w:ascii="Times New Roman" w:hAnsi="Times New Roman" w:cs="Times New Roman"/>
        </w:rPr>
        <w:t>Advisor</w:t>
      </w:r>
      <w:proofErr w:type="spellEnd"/>
      <w:r w:rsidRPr="008F0039">
        <w:rPr>
          <w:rFonts w:ascii="Times New Roman" w:hAnsi="Times New Roman" w:cs="Times New Roman"/>
        </w:rPr>
        <w:t xml:space="preserve">, também cogitado. A Microsoft recomenda migração para </w:t>
      </w:r>
      <w:proofErr w:type="spellStart"/>
      <w:r w:rsidRPr="008F0039">
        <w:rPr>
          <w:rFonts w:ascii="Times New Roman" w:hAnsi="Times New Roman" w:cs="Times New Roman"/>
        </w:rPr>
        <w:t>Fabric</w:t>
      </w:r>
      <w:proofErr w:type="spellEnd"/>
      <w:r w:rsidRPr="008F0039">
        <w:rPr>
          <w:rFonts w:ascii="Times New Roman" w:hAnsi="Times New Roman" w:cs="Times New Roman"/>
        </w:rPr>
        <w:t xml:space="preserve"> ou para bibliotecas open-</w:t>
      </w:r>
      <w:proofErr w:type="spellStart"/>
      <w:r w:rsidRPr="008F0039">
        <w:rPr>
          <w:rFonts w:ascii="Times New Roman" w:hAnsi="Times New Roman" w:cs="Times New Roman"/>
        </w:rPr>
        <w:t>source</w:t>
      </w:r>
      <w:proofErr w:type="spellEnd"/>
      <w:r w:rsidRPr="008F0039">
        <w:rPr>
          <w:rFonts w:ascii="Times New Roman" w:hAnsi="Times New Roman" w:cs="Times New Roman"/>
        </w:rPr>
        <w:t xml:space="preserve"> de </w:t>
      </w:r>
      <w:proofErr w:type="spellStart"/>
      <w:r w:rsidRPr="008F0039">
        <w:rPr>
          <w:rFonts w:ascii="Times New Roman" w:hAnsi="Times New Roman" w:cs="Times New Roman"/>
        </w:rPr>
        <w:t>anomaly</w:t>
      </w:r>
      <w:proofErr w:type="spellEnd"/>
      <w:r w:rsidRPr="008F0039">
        <w:rPr>
          <w:rFonts w:ascii="Times New Roman" w:hAnsi="Times New Roman" w:cs="Times New Roman"/>
        </w:rPr>
        <w:t xml:space="preserve"> </w:t>
      </w:r>
      <w:proofErr w:type="spellStart"/>
      <w:r w:rsidRPr="008F0039">
        <w:rPr>
          <w:rFonts w:ascii="Times New Roman" w:hAnsi="Times New Roman" w:cs="Times New Roman"/>
        </w:rPr>
        <w:t>detection</w:t>
      </w:r>
      <w:proofErr w:type="spellEnd"/>
      <w:r w:rsidRPr="008F0039">
        <w:rPr>
          <w:rFonts w:ascii="Times New Roman" w:hAnsi="Times New Roman" w:cs="Times New Roman"/>
        </w:rPr>
        <w:t>.</w:t>
      </w:r>
    </w:p>
    <w:p w14:paraId="1BBDB1E4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Além da descontinuação do serviço, a equipe identificou uma limitação de escopo: manutenção preditiva de verdade exige histórico de falhas e treinamento de modelo — recursos de tempo e dado que um TCC de poucos meses não comporta de forma realista.</w:t>
      </w:r>
    </w:p>
    <w:p w14:paraId="575E41C8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2" w:name="_Toc239075087"/>
      <w:r w:rsidRPr="008F0039">
        <w:rPr>
          <w:rFonts w:ascii="Times New Roman" w:hAnsi="Times New Roman" w:cs="Times New Roman"/>
        </w:rPr>
        <w:t>1.2 Uma oportunidade mais forte</w:t>
      </w:r>
      <w:bookmarkEnd w:id="2"/>
    </w:p>
    <w:p w14:paraId="560E7A36" w14:textId="2D8BE706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Da análise desses limites emergiu um conceito mais maduro e mais atual: em vez de prever falhas em sensores, o sistema passa a resolver um problema de usabilidade universal em softwares de gestão — a fricção entre o que o usuário quer fazer e a navegação por menus, telas e cadastros necessária para fazê-lo. A proposta revisada substitui a camada preditiva por uma camada de interface conversacional </w:t>
      </w:r>
      <w:r w:rsidR="008F0039" w:rsidRPr="008F0039">
        <w:rPr>
          <w:rFonts w:ascii="Times New Roman" w:hAnsi="Times New Roman" w:cs="Times New Roman"/>
        </w:rPr>
        <w:t>agentiva</w:t>
      </w:r>
      <w:r w:rsidRPr="008F0039">
        <w:rPr>
          <w:rFonts w:ascii="Times New Roman" w:hAnsi="Times New Roman" w:cs="Times New Roman"/>
        </w:rPr>
        <w:t>: o usuário declara a intenção em linguagem natural, e um agente de IA orquestra as operações do sistema MVC já existente, mantendo o humano no controle de toda decisão de escrita.</w:t>
      </w:r>
    </w:p>
    <w:p w14:paraId="04733A52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O nome Sentinel é mantido provisoriamente pela equipe, ainda que o novo escopo sugira revisão futura do nome para melhor refletir o produto (ex.: assistente de gestão em vez de sistema de vigilância de sensores).</w:t>
      </w:r>
    </w:p>
    <w:p w14:paraId="539100F4" w14:textId="77777777" w:rsidR="006E20DA" w:rsidRPr="008F0039" w:rsidRDefault="00000000">
      <w:pPr>
        <w:pStyle w:val="Ttulo1"/>
        <w:rPr>
          <w:rFonts w:ascii="Times New Roman" w:hAnsi="Times New Roman" w:cs="Times New Roman"/>
        </w:rPr>
      </w:pPr>
      <w:bookmarkStart w:id="3" w:name="_Toc239075088"/>
      <w:r w:rsidRPr="008F0039">
        <w:rPr>
          <w:rFonts w:ascii="Times New Roman" w:hAnsi="Times New Roman" w:cs="Times New Roman"/>
        </w:rPr>
        <w:t>2. Conceito central</w:t>
      </w:r>
      <w:bookmarkEnd w:id="3"/>
    </w:p>
    <w:p w14:paraId="7CDE6E13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A ideia central do TCC pode ser resumida em uma frase: um sistema de gestão onde o usuário declara a intenção em linguagem natural, e um agente de IA orquestra as operações do sistema, mantendo o humano no controle das decisões.</w:t>
      </w:r>
    </w:p>
    <w:p w14:paraId="7C31BC25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4" w:name="_Toc239075089"/>
      <w:r w:rsidRPr="008F0039">
        <w:rPr>
          <w:rFonts w:ascii="Times New Roman" w:hAnsi="Times New Roman" w:cs="Times New Roman"/>
        </w:rPr>
        <w:t>2.1 Exemplo de uso</w:t>
      </w:r>
      <w:bookmarkEnd w:id="4"/>
    </w:p>
    <w:p w14:paraId="1B0BD15A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O caso que originou o conceito ilustra bem a proposta: em vez de o usuário navegar por Cadastros → Funcionários → Filtros → Pagamento, ele digita "quais funcionários ainda não foram pagos até hoje?". O sistema responde com uma tabela editável e exportável. Em seguida, o usuário pede "marque esses como pagamento concluído", o sistema apresenta uma confirmação explícita da ação, e só após a aprovação humana grava a alteração no banco de dados.</w:t>
      </w:r>
    </w:p>
    <w:p w14:paraId="2F6B318E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5" w:name="_Toc239075090"/>
      <w:r w:rsidRPr="008F0039">
        <w:rPr>
          <w:rFonts w:ascii="Times New Roman" w:hAnsi="Times New Roman" w:cs="Times New Roman"/>
        </w:rPr>
        <w:t>2.2 Fundamentação teórica</w:t>
      </w:r>
      <w:bookmarkEnd w:id="5"/>
    </w:p>
    <w:p w14:paraId="3E58CF7B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O conceito tem respaldo em literatura recente de interação humano-computador. Jakob Nielsen, referência histórica em usabilidade, descreveu a IA generativa como a primeira mudança de paradigma de interface em </w:t>
      </w:r>
      <w:r w:rsidRPr="008F0039">
        <w:rPr>
          <w:rFonts w:ascii="Times New Roman" w:hAnsi="Times New Roman" w:cs="Times New Roman"/>
        </w:rPr>
        <w:lastRenderedPageBreak/>
        <w:t>60 anos: a transição da manipulação direta (o usuário especifica como fazer, clicando em elementos) para a especificação de intenção (o usuário declara o que quer, e o sistema resolve o como).</w:t>
      </w:r>
    </w:p>
    <w:p w14:paraId="701C72AE" w14:textId="77777777" w:rsidR="006E20DA" w:rsidRPr="008F0039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noProof/>
        </w:rPr>
        <w:drawing>
          <wp:inline distT="0" distB="0" distL="0" distR="0" wp14:anchorId="117CBDC6" wp14:editId="798913F1">
            <wp:extent cx="4572000" cy="24003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649E" w14:textId="77777777" w:rsidR="006E20DA" w:rsidRPr="008F0039" w:rsidRDefault="00000000">
      <w:pPr>
        <w:spacing w:after="300"/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i/>
          <w:iCs/>
          <w:color w:val="444441"/>
          <w:sz w:val="18"/>
          <w:szCs w:val="18"/>
        </w:rPr>
        <w:t>Figura 1 — Mudança de paradigma de interface (Nielsen, 2023).</w:t>
      </w:r>
    </w:p>
    <w:p w14:paraId="55E8A7FC" w14:textId="6DDEE795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O mecanismo técnico que viabiliza essa transição é o tool </w:t>
      </w:r>
      <w:r w:rsidR="008F0039" w:rsidRPr="008F0039">
        <w:rPr>
          <w:rFonts w:ascii="Times New Roman" w:hAnsi="Times New Roman" w:cs="Times New Roman"/>
        </w:rPr>
        <w:t>Calling</w:t>
      </w:r>
      <w:r w:rsidRPr="008F0039">
        <w:rPr>
          <w:rFonts w:ascii="Times New Roman" w:hAnsi="Times New Roman" w:cs="Times New Roman"/>
        </w:rPr>
        <w:t xml:space="preserve"> (ou function </w:t>
      </w:r>
      <w:r w:rsidR="008F0039" w:rsidRPr="008F0039">
        <w:rPr>
          <w:rFonts w:ascii="Times New Roman" w:hAnsi="Times New Roman" w:cs="Times New Roman"/>
        </w:rPr>
        <w:t>Calling</w:t>
      </w:r>
      <w:r w:rsidRPr="008F0039">
        <w:rPr>
          <w:rFonts w:ascii="Times New Roman" w:hAnsi="Times New Roman" w:cs="Times New Roman"/>
        </w:rPr>
        <w:t>): o modelo de linguagem recebe uma lista de ferramentas disponíveis e decide qual invocar, com quais parâmetros, sem executar a operação diretamente. O padrão de raciocínio-e-ação por trás do ciclo (interpretar, decidir, agir, observar o resultado) foi formalizado no paper ReAct (Yao et al., 2022) e é hoje a base da documentação oficial de tool use da Anthropic e da Azure OpenAI. O modelo de supervisão adotado — toda ação de escrita depende de confirmação humana — é conhecido na literatura como human-in-the-loop.</w:t>
      </w:r>
    </w:p>
    <w:p w14:paraId="59815D4A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6" w:name="_Toc239075091"/>
      <w:r w:rsidRPr="008F0039">
        <w:rPr>
          <w:rFonts w:ascii="Times New Roman" w:hAnsi="Times New Roman" w:cs="Times New Roman"/>
        </w:rPr>
        <w:t>2.3 Os quatro padrões de interação</w:t>
      </w:r>
      <w:bookmarkEnd w:id="6"/>
    </w:p>
    <w:p w14:paraId="52E4CB8E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Da exploração de casos de uso emergiram quatro padrões que cobrem, na prática, qualquer requisito funcional do sistema:</w:t>
      </w:r>
    </w:p>
    <w:p w14:paraId="2E61E11A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Consulta com resultado tabular — o usuário pergunta, a IA responde com uma tabela editável, filtrável e exportável.</w:t>
      </w:r>
    </w:p>
    <w:p w14:paraId="7C05661A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Ação em massa com confirmação — a IA propõe uma alteração de dados, exibe um resumo do impacto (quantidade de registros, valores envolvidos) e só executa após confirmação explícita.</w:t>
      </w:r>
    </w:p>
    <w:p w14:paraId="762AF478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Cadastro ou atualização por formulário pré-preenchido — a IA identifica a intenção de cadastro, abre o formulário já existente no sistema com os campos extraídos da frase preenchidos, destaca o que falta, e delega a validação e o salvamento ao backend tradicional.</w:t>
      </w:r>
    </w:p>
    <w:p w14:paraId="68F197B4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Log de auditoria — toda ação executada pela IA fica registrada de forma consultável, com autor, ferramenta, parâmetros e resultado.</w:t>
      </w:r>
    </w:p>
    <w:p w14:paraId="1755B4D3" w14:textId="77777777" w:rsidR="006E20DA" w:rsidRPr="008F0039" w:rsidRDefault="00000000">
      <w:pPr>
        <w:pStyle w:val="Ttulo1"/>
        <w:rPr>
          <w:rFonts w:ascii="Times New Roman" w:hAnsi="Times New Roman" w:cs="Times New Roman"/>
        </w:rPr>
      </w:pPr>
      <w:bookmarkStart w:id="7" w:name="_Toc239075092"/>
      <w:r w:rsidRPr="008F0039">
        <w:rPr>
          <w:rFonts w:ascii="Times New Roman" w:hAnsi="Times New Roman" w:cs="Times New Roman"/>
        </w:rPr>
        <w:t>3. Arquitetura</w:t>
      </w:r>
      <w:bookmarkEnd w:id="7"/>
    </w:p>
    <w:p w14:paraId="4E06D3B9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O princípio arquitetural inegociável do projeto é que o modelo de linguagem nunca toca o banco de dados. O LLM é uma camada de decisão que escolhe, entre ferramentas pré-registradas pelo backend, qual invocar e com quais argumentos. Quem executa — valida, grava, audita — é o próprio sistema Laravel, de forma inteiramente determinística.</w:t>
      </w:r>
    </w:p>
    <w:p w14:paraId="76F54E93" w14:textId="77777777" w:rsidR="006E20DA" w:rsidRPr="008F0039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CEFB8A" wp14:editId="1194A1B2">
            <wp:extent cx="4095750" cy="4667250"/>
            <wp:effectExtent l="0" t="0" r="0" b="0"/>
            <wp:docPr id="1134658446" name="Imagem 1134658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4C99" w14:textId="77777777" w:rsidR="006E20DA" w:rsidRPr="008F0039" w:rsidRDefault="00000000">
      <w:pPr>
        <w:spacing w:after="300"/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i/>
          <w:iCs/>
          <w:color w:val="444441"/>
          <w:sz w:val="18"/>
          <w:szCs w:val="18"/>
        </w:rPr>
        <w:t>Figura 2 — Fluxo de execução de uma intenção do usuário através das quatro camadas do sistema.</w:t>
      </w:r>
    </w:p>
    <w:p w14:paraId="5A8B5256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8" w:name="_Toc239075093"/>
      <w:r w:rsidRPr="008F0039">
        <w:rPr>
          <w:rFonts w:ascii="Times New Roman" w:hAnsi="Times New Roman" w:cs="Times New Roman"/>
        </w:rPr>
        <w:t>3.1 As quatro camadas</w:t>
      </w:r>
      <w:bookmarkEnd w:id="8"/>
    </w:p>
    <w:p w14:paraId="2DE29565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Camada de intenção (LLM) — interpreta a linguagem natural e decide qual ferramenta chamar; é a única camada não-determinística do sistema.</w:t>
      </w:r>
    </w:p>
    <w:p w14:paraId="688A0999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Camada de orquestração — service Laravel que monta o contexto e a lista de ferramentas disponíveis para o papel do usuário, envia ao LLM e gerencia o ciclo de raciocínio (que pode envolver mais de uma chamada em sequência).</w:t>
      </w:r>
    </w:p>
    <w:p w14:paraId="129F1E7B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Camada de ferramentas (tools) — funções explicitamente registradas e whitelisted; valida permissões (RBAC) e decide se a operação exige confirmação humana antes de prosseguir.</w:t>
      </w:r>
    </w:p>
    <w:p w14:paraId="7D611DBC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Camada de execução (MVC) — services, Form Requests e Eloquent já existentes no sistema; aplica toda validação de negócio, sem qualquer interferência da IA.</w:t>
      </w:r>
    </w:p>
    <w:p w14:paraId="11BEB953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O resultado de cada operação é devolvido como um de poucos componentes de apresentação (bloco de texto, tabela editável, formulário pré-preenchido ou card de confirmação), e toda decisão da IA — executada, cancelada ou negada por permissão — é persistida em log de auditoria.</w:t>
      </w:r>
    </w:p>
    <w:p w14:paraId="5CD85ABA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9" w:name="_Toc239075094"/>
      <w:r w:rsidRPr="008F0039">
        <w:rPr>
          <w:rFonts w:ascii="Times New Roman" w:hAnsi="Times New Roman" w:cs="Times New Roman"/>
        </w:rPr>
        <w:t>3.2 Stack tecnológica</w:t>
      </w:r>
      <w:bookmarkEnd w:id="9"/>
    </w:p>
    <w:p w14:paraId="731D6689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Backend: Laravel 12, </w:t>
      </w:r>
      <w:proofErr w:type="spellStart"/>
      <w:r w:rsidRPr="008F0039">
        <w:rPr>
          <w:rFonts w:ascii="Times New Roman" w:hAnsi="Times New Roman" w:cs="Times New Roman"/>
        </w:rPr>
        <w:t>Blade</w:t>
      </w:r>
      <w:proofErr w:type="spellEnd"/>
      <w:r w:rsidRPr="008F0039">
        <w:rPr>
          <w:rFonts w:ascii="Times New Roman" w:hAnsi="Times New Roman" w:cs="Times New Roman"/>
        </w:rPr>
        <w:t xml:space="preserve">, </w:t>
      </w:r>
      <w:proofErr w:type="spellStart"/>
      <w:r w:rsidRPr="008F0039">
        <w:rPr>
          <w:rFonts w:ascii="Times New Roman" w:hAnsi="Times New Roman" w:cs="Times New Roman"/>
        </w:rPr>
        <w:t>Tailwind</w:t>
      </w:r>
      <w:proofErr w:type="spellEnd"/>
      <w:r w:rsidRPr="008F0039">
        <w:rPr>
          <w:rFonts w:ascii="Times New Roman" w:hAnsi="Times New Roman" w:cs="Times New Roman"/>
        </w:rPr>
        <w:t xml:space="preserve"> CSS (</w:t>
      </w:r>
      <w:proofErr w:type="spellStart"/>
      <w:r w:rsidRPr="008F0039">
        <w:rPr>
          <w:rFonts w:ascii="Times New Roman" w:hAnsi="Times New Roman" w:cs="Times New Roman"/>
        </w:rPr>
        <w:t>stack</w:t>
      </w:r>
      <w:proofErr w:type="spellEnd"/>
      <w:r w:rsidRPr="008F0039">
        <w:rPr>
          <w:rFonts w:ascii="Times New Roman" w:hAnsi="Times New Roman" w:cs="Times New Roman"/>
        </w:rPr>
        <w:t xml:space="preserve"> já dominada pela equipe nos protótipos anteriores).</w:t>
      </w:r>
    </w:p>
    <w:p w14:paraId="49F39539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Banco de dados: MySQL, com isolamento lógico </w:t>
      </w:r>
      <w:proofErr w:type="spellStart"/>
      <w:r w:rsidRPr="008F0039">
        <w:rPr>
          <w:rFonts w:ascii="Times New Roman" w:hAnsi="Times New Roman" w:cs="Times New Roman"/>
        </w:rPr>
        <w:t>multi-tenant</w:t>
      </w:r>
      <w:proofErr w:type="spellEnd"/>
      <w:r w:rsidRPr="008F0039">
        <w:rPr>
          <w:rFonts w:ascii="Times New Roman" w:hAnsi="Times New Roman" w:cs="Times New Roman"/>
        </w:rPr>
        <w:t>.</w:t>
      </w:r>
    </w:p>
    <w:p w14:paraId="20B08480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lastRenderedPageBreak/>
        <w:t xml:space="preserve">Camada de IA: chamada HTTP à API de um provedor de LLM com suporte a tool </w:t>
      </w:r>
      <w:proofErr w:type="spellStart"/>
      <w:r w:rsidRPr="008F0039">
        <w:rPr>
          <w:rFonts w:ascii="Times New Roman" w:hAnsi="Times New Roman" w:cs="Times New Roman"/>
        </w:rPr>
        <w:t>calling</w:t>
      </w:r>
      <w:proofErr w:type="spellEnd"/>
      <w:r w:rsidRPr="008F0039">
        <w:rPr>
          <w:rFonts w:ascii="Times New Roman" w:hAnsi="Times New Roman" w:cs="Times New Roman"/>
        </w:rPr>
        <w:t xml:space="preserve"> (Azure OpenAI, mantendo coerência com o anteprojeto original e a certificação em curso, ou Anthropic API como alternativa).</w:t>
      </w:r>
    </w:p>
    <w:p w14:paraId="2ED7DF58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Interface de chat: </w:t>
      </w:r>
      <w:proofErr w:type="spellStart"/>
      <w:r w:rsidRPr="008F0039">
        <w:rPr>
          <w:rFonts w:ascii="Times New Roman" w:hAnsi="Times New Roman" w:cs="Times New Roman"/>
        </w:rPr>
        <w:t>Blade</w:t>
      </w:r>
      <w:proofErr w:type="spellEnd"/>
      <w:r w:rsidRPr="008F0039">
        <w:rPr>
          <w:rFonts w:ascii="Times New Roman" w:hAnsi="Times New Roman" w:cs="Times New Roman"/>
        </w:rPr>
        <w:t xml:space="preserve"> e </w:t>
      </w:r>
      <w:proofErr w:type="spellStart"/>
      <w:r w:rsidRPr="008F0039">
        <w:rPr>
          <w:rFonts w:ascii="Times New Roman" w:hAnsi="Times New Roman" w:cs="Times New Roman"/>
        </w:rPr>
        <w:t>JavaScript</w:t>
      </w:r>
      <w:proofErr w:type="spellEnd"/>
      <w:r w:rsidRPr="008F0039">
        <w:rPr>
          <w:rFonts w:ascii="Times New Roman" w:hAnsi="Times New Roman" w:cs="Times New Roman"/>
        </w:rPr>
        <w:t xml:space="preserve"> </w:t>
      </w:r>
      <w:proofErr w:type="spellStart"/>
      <w:r w:rsidRPr="008F0039">
        <w:rPr>
          <w:rFonts w:ascii="Times New Roman" w:hAnsi="Times New Roman" w:cs="Times New Roman"/>
        </w:rPr>
        <w:t>vanilla</w:t>
      </w:r>
      <w:proofErr w:type="spellEnd"/>
      <w:r w:rsidRPr="008F0039">
        <w:rPr>
          <w:rFonts w:ascii="Times New Roman" w:hAnsi="Times New Roman" w:cs="Times New Roman"/>
        </w:rPr>
        <w:t xml:space="preserve">, com </w:t>
      </w:r>
      <w:proofErr w:type="spellStart"/>
      <w:r w:rsidRPr="008F0039">
        <w:rPr>
          <w:rFonts w:ascii="Times New Roman" w:hAnsi="Times New Roman" w:cs="Times New Roman"/>
        </w:rPr>
        <w:t>polling</w:t>
      </w:r>
      <w:proofErr w:type="spellEnd"/>
      <w:r w:rsidRPr="008F0039">
        <w:rPr>
          <w:rFonts w:ascii="Times New Roman" w:hAnsi="Times New Roman" w:cs="Times New Roman"/>
        </w:rPr>
        <w:t xml:space="preserve"> simples ou Server-</w:t>
      </w:r>
      <w:proofErr w:type="spellStart"/>
      <w:r w:rsidRPr="008F0039">
        <w:rPr>
          <w:rFonts w:ascii="Times New Roman" w:hAnsi="Times New Roman" w:cs="Times New Roman"/>
        </w:rPr>
        <w:t>Sent</w:t>
      </w:r>
      <w:proofErr w:type="spellEnd"/>
      <w:r w:rsidRPr="008F0039">
        <w:rPr>
          <w:rFonts w:ascii="Times New Roman" w:hAnsi="Times New Roman" w:cs="Times New Roman"/>
        </w:rPr>
        <w:t xml:space="preserve"> </w:t>
      </w:r>
      <w:proofErr w:type="spellStart"/>
      <w:r w:rsidRPr="008F0039">
        <w:rPr>
          <w:rFonts w:ascii="Times New Roman" w:hAnsi="Times New Roman" w:cs="Times New Roman"/>
        </w:rPr>
        <w:t>Events</w:t>
      </w:r>
      <w:proofErr w:type="spellEnd"/>
      <w:r w:rsidRPr="008F0039">
        <w:rPr>
          <w:rFonts w:ascii="Times New Roman" w:hAnsi="Times New Roman" w:cs="Times New Roman"/>
        </w:rPr>
        <w:t xml:space="preserve"> para streaming de resposta — sem necessidade de </w:t>
      </w:r>
      <w:proofErr w:type="spellStart"/>
      <w:r w:rsidRPr="008F0039">
        <w:rPr>
          <w:rFonts w:ascii="Times New Roman" w:hAnsi="Times New Roman" w:cs="Times New Roman"/>
        </w:rPr>
        <w:t>WebSocket</w:t>
      </w:r>
      <w:proofErr w:type="spellEnd"/>
      <w:r w:rsidRPr="008F0039">
        <w:rPr>
          <w:rFonts w:ascii="Times New Roman" w:hAnsi="Times New Roman" w:cs="Times New Roman"/>
        </w:rPr>
        <w:t xml:space="preserve"> ou filas para o escopo de protótipo acadêmico.</w:t>
      </w:r>
    </w:p>
    <w:p w14:paraId="2A9FF954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Custo estimado de API para desenvolvimento e demonstração: da ordem de centavos por interação, irrisório para o orçamento de um TCC.</w:t>
      </w:r>
    </w:p>
    <w:p w14:paraId="562CD47F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10" w:name="_Toc239075095"/>
      <w:r w:rsidRPr="008F0039">
        <w:rPr>
          <w:rFonts w:ascii="Times New Roman" w:hAnsi="Times New Roman" w:cs="Times New Roman"/>
        </w:rPr>
        <w:t>3.3 Resiliência a falhas de conectividade</w:t>
      </w:r>
      <w:bookmarkEnd w:id="10"/>
    </w:p>
    <w:p w14:paraId="10E0E2D5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A dependência de um serviço de IA de terceiros (seção 9) cobre, na prática, dois cenários distintos que exigem soluções diferentes. O primeiro é a ausência total de internet no dispositivo do usuário: nesse caso, uma aplicação Laravel/</w:t>
      </w:r>
      <w:proofErr w:type="spellStart"/>
      <w:r w:rsidRPr="008F0039">
        <w:rPr>
          <w:rFonts w:ascii="Times New Roman" w:hAnsi="Times New Roman" w:cs="Times New Roman"/>
        </w:rPr>
        <w:t>Blade</w:t>
      </w:r>
      <w:proofErr w:type="spellEnd"/>
      <w:r w:rsidRPr="008F0039">
        <w:rPr>
          <w:rFonts w:ascii="Times New Roman" w:hAnsi="Times New Roman" w:cs="Times New Roman"/>
        </w:rPr>
        <w:t xml:space="preserve"> tradicional simplesmente não carrega, e resolver isso exigiria migrar a camada de apresentação para um PWA com Service </w:t>
      </w:r>
      <w:proofErr w:type="spellStart"/>
      <w:r w:rsidRPr="008F0039">
        <w:rPr>
          <w:rFonts w:ascii="Times New Roman" w:hAnsi="Times New Roman" w:cs="Times New Roman"/>
        </w:rPr>
        <w:t>Worker</w:t>
      </w:r>
      <w:proofErr w:type="spellEnd"/>
      <w:r w:rsidRPr="008F0039">
        <w:rPr>
          <w:rFonts w:ascii="Times New Roman" w:hAnsi="Times New Roman" w:cs="Times New Roman"/>
        </w:rPr>
        <w:t xml:space="preserve"> e armazenamento local (</w:t>
      </w:r>
      <w:proofErr w:type="spellStart"/>
      <w:r w:rsidRPr="008F0039">
        <w:rPr>
          <w:rFonts w:ascii="Times New Roman" w:hAnsi="Times New Roman" w:cs="Times New Roman"/>
        </w:rPr>
        <w:t>IndexedDB</w:t>
      </w:r>
      <w:proofErr w:type="spellEnd"/>
      <w:r w:rsidRPr="008F0039">
        <w:rPr>
          <w:rFonts w:ascii="Times New Roman" w:hAnsi="Times New Roman" w:cs="Times New Roman"/>
        </w:rPr>
        <w:t xml:space="preserve">), ou um aplicativo nativo com banco local — abordagem já demonstrada como viável pela própria equipe no protótipo </w:t>
      </w:r>
      <w:proofErr w:type="spellStart"/>
      <w:r w:rsidRPr="008F0039">
        <w:rPr>
          <w:rFonts w:ascii="Times New Roman" w:hAnsi="Times New Roman" w:cs="Times New Roman"/>
        </w:rPr>
        <w:t>Flutter</w:t>
      </w:r>
      <w:proofErr w:type="spellEnd"/>
      <w:r w:rsidRPr="008F0039">
        <w:rPr>
          <w:rFonts w:ascii="Times New Roman" w:hAnsi="Times New Roman" w:cs="Times New Roman"/>
        </w:rPr>
        <w:t xml:space="preserve"> do SENAI GMP, com </w:t>
      </w:r>
      <w:proofErr w:type="spellStart"/>
      <w:r w:rsidRPr="008F0039">
        <w:rPr>
          <w:rFonts w:ascii="Times New Roman" w:hAnsi="Times New Roman" w:cs="Times New Roman"/>
        </w:rPr>
        <w:t>SQLite</w:t>
      </w:r>
      <w:proofErr w:type="spellEnd"/>
      <w:r w:rsidRPr="008F0039">
        <w:rPr>
          <w:rFonts w:ascii="Times New Roman" w:hAnsi="Times New Roman" w:cs="Times New Roman"/>
        </w:rPr>
        <w:t xml:space="preserve"> e sem dependência de backend HTTP. Esse cenário é tratado como trabalho futuro (seção 10), por representar uma camada de tecnologia adicional fora do escopo do protótipo.</w:t>
      </w:r>
    </w:p>
    <w:p w14:paraId="1E6ABEED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O segundo cenário — mais frequente na prática e dentro do escopo do TCC — é o de conectividade normal com a API de IA especificamente indisponível, lenta ou instável. Para esse caso, o projeto adota um mecanismo concreto de mitigação: fila local de comandos.</w:t>
      </w:r>
    </w:p>
    <w:p w14:paraId="002B50C2" w14:textId="77777777" w:rsidR="006E20DA" w:rsidRPr="008F0039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noProof/>
        </w:rPr>
        <w:drawing>
          <wp:inline distT="0" distB="0" distL="0" distR="0" wp14:anchorId="0E0BE4DC" wp14:editId="7957926D">
            <wp:extent cx="3810000" cy="3876675"/>
            <wp:effectExtent l="0" t="0" r="0" b="0"/>
            <wp:docPr id="1655598588" name="Imagem 1655598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E0F8" w14:textId="77777777" w:rsidR="006E20DA" w:rsidRPr="008F0039" w:rsidRDefault="00000000">
      <w:pPr>
        <w:spacing w:after="300"/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i/>
          <w:iCs/>
          <w:color w:val="444441"/>
          <w:sz w:val="18"/>
          <w:szCs w:val="18"/>
        </w:rPr>
        <w:t>Figura 2.1 — Fluxo de degradação quando a API de IA falha: o comando é enfileirado, o CRUD tradicional permanece disponível, e a reconexão exige nova confirmação.</w:t>
      </w:r>
    </w:p>
    <w:p w14:paraId="7A54504D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O funcionamento é direto: o orquestrador tenta a chamada à API com um timeout curto, sem travar a interface. Em caso de falha, o comando em linguagem natural é persistido em uma fila local (tabela de </w:t>
      </w:r>
      <w:r w:rsidRPr="008F0039">
        <w:rPr>
          <w:rFonts w:ascii="Times New Roman" w:hAnsi="Times New Roman" w:cs="Times New Roman"/>
        </w:rPr>
        <w:lastRenderedPageBreak/>
        <w:t>comandos pendentes), o usuário é avisado sem bloqueio (ex.: indicador "2 comandos aguardando processamento"), e o CRUD tradicional permanece plenamente disponível como alternativa imediata. Um processo em segundo plano tenta reprocessar a fila periodicamente.</w:t>
      </w:r>
    </w:p>
    <w:p w14:paraId="0F9989C0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A regra de segurança central desse mecanismo é que a fila guarda apenas a intenção do usuário, nunca a autorização de escrita. Quando a conexão retorna e um comando pendente é reprocessado, ele é reapresentado ao usuário para nova confirmação explícita antes de qualquer gravação — nunca executado às cegas. Isso evita que uma ação enfileirada minutos ou horas antes sobrescreva, com dados desatualizados, alterações feitas por outra pessoa nesse intervalo, e mantém coerência com o princípio de human-in-the-loop já estabelecido na seção 4.</w:t>
      </w:r>
    </w:p>
    <w:p w14:paraId="10464679" w14:textId="77777777" w:rsidR="006E20DA" w:rsidRPr="008F0039" w:rsidRDefault="00000000">
      <w:pPr>
        <w:pStyle w:val="Ttulo1"/>
        <w:rPr>
          <w:rFonts w:ascii="Times New Roman" w:hAnsi="Times New Roman" w:cs="Times New Roman"/>
        </w:rPr>
      </w:pPr>
      <w:bookmarkStart w:id="11" w:name="_Toc239075096"/>
      <w:r w:rsidRPr="008F0039">
        <w:rPr>
          <w:rFonts w:ascii="Times New Roman" w:hAnsi="Times New Roman" w:cs="Times New Roman"/>
        </w:rPr>
        <w:t>4. Garantias de governança</w:t>
      </w:r>
      <w:bookmarkEnd w:id="11"/>
    </w:p>
    <w:p w14:paraId="730A3A83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A maturidade do projeto está menos na camada de IA e mais nas garantias de engenharia que a cercam. São cinco garantias que, juntas, respondem à objeção mais comum a esse tipo de sistema: "e se a IA errar ou for manipulada?"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6E20DA" w:rsidRPr="008F0039" w14:paraId="5A15DC82" w14:textId="77777777">
        <w:trPr>
          <w:tblHeader/>
        </w:trPr>
        <w:tc>
          <w:tcPr>
            <w:tcW w:w="3200" w:type="dxa"/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3BA62" w14:textId="77777777" w:rsidR="006E20DA" w:rsidRPr="008F0039" w:rsidRDefault="00000000">
            <w:pPr>
              <w:rPr>
                <w:rFonts w:ascii="Times New Roman" w:hAnsi="Times New Roman" w:cs="Times New Roman"/>
              </w:rPr>
            </w:pPr>
            <w:r w:rsidRPr="008F003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Garantia</w:t>
            </w:r>
          </w:p>
        </w:tc>
        <w:tc>
          <w:tcPr>
            <w:tcW w:w="5800" w:type="dxa"/>
            <w:shd w:val="clear" w:color="auto" w:fill="0F6E5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2391C" w14:textId="77777777" w:rsidR="006E20DA" w:rsidRPr="008F0039" w:rsidRDefault="00000000">
            <w:pPr>
              <w:rPr>
                <w:rFonts w:ascii="Times New Roman" w:hAnsi="Times New Roman" w:cs="Times New Roman"/>
              </w:rPr>
            </w:pPr>
            <w:r w:rsidRPr="008F0039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Como é aplicada</w:t>
            </w:r>
          </w:p>
        </w:tc>
      </w:tr>
      <w:tr w:rsidR="006E20DA" w:rsidRPr="008F0039" w14:paraId="67D126DA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95274" w14:textId="77777777" w:rsidR="006E20DA" w:rsidRPr="008F0039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F00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Whitelist</w:t>
            </w:r>
            <w:proofErr w:type="spellEnd"/>
            <w:r w:rsidRPr="008F00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de ferramentas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CDCD8" w14:textId="77777777" w:rsidR="006E20DA" w:rsidRPr="008F0039" w:rsidRDefault="00000000">
            <w:pPr>
              <w:rPr>
                <w:rFonts w:ascii="Times New Roman" w:hAnsi="Times New Roman" w:cs="Times New Roman"/>
              </w:rPr>
            </w:pPr>
            <w:r w:rsidRPr="008F00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 IA só enxerga funções explicitamente registradas pelo backend; não existe caminho para execução de código ou consulta arbitrária.</w:t>
            </w:r>
          </w:p>
        </w:tc>
      </w:tr>
      <w:tr w:rsidR="006E20DA" w:rsidRPr="008F0039" w14:paraId="52E05009" w14:textId="77777777">
        <w:tc>
          <w:tcPr>
            <w:tcW w:w="32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CC77F9" w14:textId="77777777" w:rsidR="006E20DA" w:rsidRPr="008F0039" w:rsidRDefault="00000000">
            <w:pPr>
              <w:rPr>
                <w:rFonts w:ascii="Times New Roman" w:hAnsi="Times New Roman" w:cs="Times New Roman"/>
              </w:rPr>
            </w:pPr>
            <w:r w:rsidRPr="008F00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RBAC por ferramenta</w:t>
            </w:r>
          </w:p>
        </w:tc>
        <w:tc>
          <w:tcPr>
            <w:tcW w:w="58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37230" w14:textId="77777777" w:rsidR="006E20DA" w:rsidRPr="008F0039" w:rsidRDefault="00000000">
            <w:pPr>
              <w:rPr>
                <w:rFonts w:ascii="Times New Roman" w:hAnsi="Times New Roman" w:cs="Times New Roman"/>
              </w:rPr>
            </w:pPr>
            <w:r w:rsidRPr="008F00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filtro de permissão ocorre antes da chamada ao LLM (o papel do usuário nem recebe a ferramenta na lista) e novamente na execução, como defesa em profundidade.</w:t>
            </w:r>
          </w:p>
        </w:tc>
      </w:tr>
      <w:tr w:rsidR="006E20DA" w:rsidRPr="008F0039" w14:paraId="668C4936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B56BE" w14:textId="77777777" w:rsidR="006E20DA" w:rsidRPr="008F0039" w:rsidRDefault="0000000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F003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Confirmação</w:t>
            </w:r>
            <w:proofErr w:type="spellEnd"/>
            <w:r w:rsidRPr="008F0039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humana (human-in-the-loop)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B78F5" w14:textId="77777777" w:rsidR="006E20DA" w:rsidRPr="008F0039" w:rsidRDefault="00000000">
            <w:pPr>
              <w:rPr>
                <w:rFonts w:ascii="Times New Roman" w:hAnsi="Times New Roman" w:cs="Times New Roman"/>
              </w:rPr>
            </w:pPr>
            <w:r w:rsidRPr="008F00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Toda operação de leitura executa direto; toda operação de escrita gera um card de confirmação explícita antes de qualquer INSERT, UPDATE ou DELETE.</w:t>
            </w:r>
          </w:p>
        </w:tc>
      </w:tr>
      <w:tr w:rsidR="006E20DA" w:rsidRPr="008F0039" w14:paraId="70131BD8" w14:textId="77777777">
        <w:tc>
          <w:tcPr>
            <w:tcW w:w="32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19747" w14:textId="77777777" w:rsidR="006E20DA" w:rsidRPr="008F0039" w:rsidRDefault="00000000">
            <w:pPr>
              <w:rPr>
                <w:rFonts w:ascii="Times New Roman" w:hAnsi="Times New Roman" w:cs="Times New Roman"/>
              </w:rPr>
            </w:pPr>
            <w:r w:rsidRPr="008F00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Validação determinística</w:t>
            </w:r>
          </w:p>
        </w:tc>
        <w:tc>
          <w:tcPr>
            <w:tcW w:w="5800" w:type="dxa"/>
            <w:shd w:val="clear" w:color="auto" w:fill="F1EF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53F89" w14:textId="77777777" w:rsidR="006E20DA" w:rsidRPr="008F0039" w:rsidRDefault="00000000">
            <w:pPr>
              <w:rPr>
                <w:rFonts w:ascii="Times New Roman" w:hAnsi="Times New Roman" w:cs="Times New Roman"/>
              </w:rPr>
            </w:pPr>
            <w:r w:rsidRPr="008F00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CPF, campos obrigatórios, regras de negócio e máscaras são validados pelo Form Request do Laravel — nunca pela IA.</w:t>
            </w:r>
          </w:p>
        </w:tc>
      </w:tr>
      <w:tr w:rsidR="006E20DA" w:rsidRPr="008F0039" w14:paraId="6E96C415" w14:textId="77777777"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02CB3" w14:textId="77777777" w:rsidR="006E20DA" w:rsidRPr="008F0039" w:rsidRDefault="00000000">
            <w:pPr>
              <w:rPr>
                <w:rFonts w:ascii="Times New Roman" w:hAnsi="Times New Roman" w:cs="Times New Roman"/>
              </w:rPr>
            </w:pPr>
            <w:r w:rsidRPr="008F00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Auditoria total</w:t>
            </w:r>
          </w:p>
        </w:tc>
        <w:tc>
          <w:tcPr>
            <w:tcW w:w="5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F92FC" w14:textId="77777777" w:rsidR="006E20DA" w:rsidRPr="008F0039" w:rsidRDefault="00000000">
            <w:pPr>
              <w:rPr>
                <w:rFonts w:ascii="Times New Roman" w:hAnsi="Times New Roman" w:cs="Times New Roman"/>
              </w:rPr>
            </w:pPr>
            <w:r w:rsidRPr="008F003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Cada decisão da IA é persistida: usuário, ferramenta, parâmetros, horário e desfecho (executada, cancelada ou negada).</w:t>
            </w:r>
          </w:p>
        </w:tc>
      </w:tr>
    </w:tbl>
    <w:p w14:paraId="28ED4142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Essas cinco garantias também constituem a resposta estrutural ao risco de manipulação de prompt (prompt </w:t>
      </w:r>
      <w:proofErr w:type="spellStart"/>
      <w:r w:rsidRPr="008F0039">
        <w:rPr>
          <w:rFonts w:ascii="Times New Roman" w:hAnsi="Times New Roman" w:cs="Times New Roman"/>
        </w:rPr>
        <w:t>injection</w:t>
      </w:r>
      <w:proofErr w:type="spellEnd"/>
      <w:r w:rsidRPr="008F0039">
        <w:rPr>
          <w:rFonts w:ascii="Times New Roman" w:hAnsi="Times New Roman" w:cs="Times New Roman"/>
        </w:rPr>
        <w:t>): a regra de negócio não reside no texto trocado com o modelo, reside no backend determinístico. Um comando malicioso embutido na conversa não tem caminho de execução fora das ferramentas permitidas ao papel do usuário.</w:t>
      </w:r>
    </w:p>
    <w:p w14:paraId="30ED3C8C" w14:textId="77777777" w:rsidR="006E20DA" w:rsidRPr="008F0039" w:rsidRDefault="00000000">
      <w:pPr>
        <w:pStyle w:val="Ttulo1"/>
        <w:rPr>
          <w:rFonts w:ascii="Times New Roman" w:hAnsi="Times New Roman" w:cs="Times New Roman"/>
        </w:rPr>
      </w:pPr>
      <w:bookmarkStart w:id="12" w:name="_Toc239075097"/>
      <w:r w:rsidRPr="008F0039">
        <w:rPr>
          <w:rFonts w:ascii="Times New Roman" w:hAnsi="Times New Roman" w:cs="Times New Roman"/>
        </w:rPr>
        <w:t>5. Público-alvo e análise de mercado</w:t>
      </w:r>
      <w:bookmarkEnd w:id="12"/>
    </w:p>
    <w:p w14:paraId="183889D9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A definição do público-alvo segue o mesmo rigor exigido do restante do projeto: apoiada em dados oficiais e recentes (Sebrae, 2025) em vez de suposição.</w:t>
      </w:r>
    </w:p>
    <w:p w14:paraId="4C0D0C25" w14:textId="77777777" w:rsidR="006E20DA" w:rsidRPr="008F0039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995CE1" wp14:editId="298CF231">
            <wp:extent cx="4095750" cy="3810000"/>
            <wp:effectExtent l="0" t="0" r="0" b="0"/>
            <wp:docPr id="1178184838" name="Imagem 1178184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B7C4" w14:textId="77777777" w:rsidR="006E20DA" w:rsidRPr="008F0039" w:rsidRDefault="00000000">
      <w:pPr>
        <w:spacing w:after="300"/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i/>
          <w:iCs/>
          <w:color w:val="444441"/>
          <w:sz w:val="18"/>
          <w:szCs w:val="18"/>
        </w:rPr>
        <w:t>Figura 3 — Funil de definição do público-alvo com base em dados do Sebrae.</w:t>
      </w:r>
    </w:p>
    <w:p w14:paraId="7671A940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13" w:name="_Toc239075098"/>
      <w:r w:rsidRPr="008F0039">
        <w:rPr>
          <w:rFonts w:ascii="Times New Roman" w:hAnsi="Times New Roman" w:cs="Times New Roman"/>
        </w:rPr>
        <w:t>5.1 O tamanho e a natureza do mercado</w:t>
      </w:r>
      <w:bookmarkEnd w:id="13"/>
    </w:p>
    <w:p w14:paraId="0176EE4C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O Brasil encerrou o segundo quadrimestre de 2025 com 24,2 milhões de empresas ativas, das quais 93,8% são micro e pequenas empresas (22,7 milhões, incluindo microempreendedores individuais). O dado que sustenta a proposta, porém, é o de adoção de tecnologia de gestão: apenas 47% dos pequenos negócios brasileiros utilizam softwares ou aplicativos integrativos que auxiliam na gestão de todas ou boa parte das atividades. A maioria ainda opera com planilhas, cadernos ou troca de mensagens.</w:t>
      </w:r>
    </w:p>
    <w:p w14:paraId="4AA07868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14" w:name="_Toc239075099"/>
      <w:r w:rsidRPr="008F0039">
        <w:rPr>
          <w:rFonts w:ascii="Times New Roman" w:hAnsi="Times New Roman" w:cs="Times New Roman"/>
        </w:rPr>
        <w:t>5.2 O gargalo é a interface, não o acesso</w:t>
      </w:r>
      <w:bookmarkEnd w:id="14"/>
    </w:p>
    <w:p w14:paraId="0937FA5D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Os dados descartam a hipótese de que o problema seja infraestrutura: 76% dos empreendedores já contam com computadores em suas atividades, e 88% usam internet no dia a dia. O uso, porém, é concentrado em redes sociais e serviços bancários — menos de 13% chegam a usar plataformas de gestão. A pesquisa de maturidade digital do Sebrae reforça o diagnóstico: dois terços dos pequenos negócios permanecem entre os níveis </w:t>
      </w:r>
      <w:proofErr w:type="spellStart"/>
      <w:r w:rsidRPr="008F0039">
        <w:rPr>
          <w:rFonts w:ascii="Times New Roman" w:hAnsi="Times New Roman" w:cs="Times New Roman"/>
        </w:rPr>
        <w:t>baixo</w:t>
      </w:r>
      <w:proofErr w:type="spellEnd"/>
      <w:r w:rsidRPr="008F0039">
        <w:rPr>
          <w:rFonts w:ascii="Times New Roman" w:hAnsi="Times New Roman" w:cs="Times New Roman"/>
        </w:rPr>
        <w:t xml:space="preserve"> e médio de maturidade digital, mesmo com acesso técnico disponível. O padrão observado é de um empreendedor fluente em interface de conversa (WhatsApp, redes sociais) e não familiarizado com interface de sistema (menus, módulos, cadastros) — exatamente o gap que a interface conversacional </w:t>
      </w:r>
      <w:proofErr w:type="spellStart"/>
      <w:r w:rsidRPr="008F0039">
        <w:rPr>
          <w:rFonts w:ascii="Times New Roman" w:hAnsi="Times New Roman" w:cs="Times New Roman"/>
        </w:rPr>
        <w:t>agêntica</w:t>
      </w:r>
      <w:proofErr w:type="spellEnd"/>
      <w:r w:rsidRPr="008F0039">
        <w:rPr>
          <w:rFonts w:ascii="Times New Roman" w:hAnsi="Times New Roman" w:cs="Times New Roman"/>
        </w:rPr>
        <w:t xml:space="preserve"> ataca.</w:t>
      </w:r>
    </w:p>
    <w:p w14:paraId="438C72CA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15" w:name="_Toc239075100"/>
      <w:r w:rsidRPr="008F0039">
        <w:rPr>
          <w:rFonts w:ascii="Times New Roman" w:hAnsi="Times New Roman" w:cs="Times New Roman"/>
        </w:rPr>
        <w:t>5.3 Definição do público-alvo</w:t>
      </w:r>
      <w:bookmarkEnd w:id="15"/>
    </w:p>
    <w:p w14:paraId="7E1C8147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Com base nesses dados, a equipe define como público-alvo: micro e pequenas empresas brasileiras com aproximadamente 2 a 20 funcionários, geridas por um dono-operador sem departamento administrativo dedicado. Ficam fora do escopo:</w:t>
      </w:r>
    </w:p>
    <w:p w14:paraId="26986F17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lastRenderedPageBreak/>
        <w:t>O MEI solo — em geral opera sozinho, sem folha de pagamento ou estoque complexo; suas necessidades cabem em planilha simples e aplicativo bancário, com baixa disposição a pagar por um sistema de gestão.</w:t>
      </w:r>
    </w:p>
    <w:p w14:paraId="40EA8738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A média empresa — já possui ERP implantado e equipe administrativa treinada; para quem já aprendeu os menus, clicar tende a ser mais rápido que redigir um comando.</w:t>
      </w:r>
    </w:p>
    <w:p w14:paraId="00523C39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O perfil ideal está no meio dessas duas pontas: um negócio complexo demais para planilha, mas ainda pequeno demais para justificar treinamento em um ERP tradicional — e cujo gestor administra o sistema nas brechas do próprio expediente.</w:t>
      </w:r>
    </w:p>
    <w:p w14:paraId="6DDD181E" w14:textId="77777777" w:rsidR="006E20DA" w:rsidRPr="008F0039" w:rsidRDefault="00000000">
      <w:pPr>
        <w:pStyle w:val="Ttulo3"/>
        <w:rPr>
          <w:rFonts w:ascii="Times New Roman" w:hAnsi="Times New Roman" w:cs="Times New Roman"/>
        </w:rPr>
      </w:pPr>
      <w:bookmarkStart w:id="16" w:name="_Toc239075101"/>
      <w:r w:rsidRPr="008F0039">
        <w:rPr>
          <w:rFonts w:ascii="Times New Roman" w:hAnsi="Times New Roman" w:cs="Times New Roman"/>
        </w:rPr>
        <w:t>Nota metodológica</w:t>
      </w:r>
      <w:bookmarkEnd w:id="16"/>
    </w:p>
    <w:p w14:paraId="55F326B1" w14:textId="77777777" w:rsidR="006E20DA" w:rsidRPr="008F0039" w:rsidRDefault="00000000">
      <w:pPr>
        <w:spacing w:after="24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i/>
          <w:iCs/>
          <w:color w:val="444441"/>
          <w:sz w:val="20"/>
          <w:szCs w:val="20"/>
        </w:rPr>
        <w:t xml:space="preserve">A seção 5 apresenta estatísticas de fontes oficiais (Sebrae, Mapa de Empresas). A seção 6, a seguir, apresenta inferências e projeções da equipe construídas sobre esses dados — </w:t>
      </w:r>
      <w:proofErr w:type="gramStart"/>
      <w:r w:rsidRPr="008F0039">
        <w:rPr>
          <w:rFonts w:ascii="Times New Roman" w:hAnsi="Times New Roman" w:cs="Times New Roman"/>
          <w:i/>
          <w:iCs/>
          <w:color w:val="444441"/>
          <w:sz w:val="20"/>
          <w:szCs w:val="20"/>
        </w:rPr>
        <w:t>tratam-se</w:t>
      </w:r>
      <w:proofErr w:type="gramEnd"/>
      <w:r w:rsidRPr="008F0039">
        <w:rPr>
          <w:rFonts w:ascii="Times New Roman" w:hAnsi="Times New Roman" w:cs="Times New Roman"/>
          <w:i/>
          <w:iCs/>
          <w:color w:val="444441"/>
          <w:sz w:val="20"/>
          <w:szCs w:val="20"/>
        </w:rPr>
        <w:t xml:space="preserve"> de hipóteses argumentadas, não de fatos estabelecidos, e devem ser lidas e citadas nesse registro.</w:t>
      </w:r>
    </w:p>
    <w:p w14:paraId="6C203CD3" w14:textId="77777777" w:rsidR="006E20DA" w:rsidRPr="008F0039" w:rsidRDefault="00000000">
      <w:pPr>
        <w:pStyle w:val="Ttulo1"/>
        <w:rPr>
          <w:rFonts w:ascii="Times New Roman" w:hAnsi="Times New Roman" w:cs="Times New Roman"/>
        </w:rPr>
      </w:pPr>
      <w:bookmarkStart w:id="17" w:name="_Toc239075102"/>
      <w:r w:rsidRPr="008F0039">
        <w:rPr>
          <w:rFonts w:ascii="Times New Roman" w:hAnsi="Times New Roman" w:cs="Times New Roman"/>
        </w:rPr>
        <w:t>6. Predições sobre o público-alvo</w:t>
      </w:r>
      <w:bookmarkEnd w:id="17"/>
    </w:p>
    <w:p w14:paraId="2BCA5367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A partir da análise estatística, a equipe formula seis predições sobre a relação entre esse público e um sistema de interface conversacional. Cada uma é uma extrapolação argumentada, não um dado medido, e é apresentada como tal.</w:t>
      </w:r>
    </w:p>
    <w:p w14:paraId="0BEE6DDD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18" w:name="_Toc239075103"/>
      <w:r w:rsidRPr="008F0039">
        <w:rPr>
          <w:rFonts w:ascii="Times New Roman" w:hAnsi="Times New Roman" w:cs="Times New Roman"/>
        </w:rPr>
        <w:t>6.1 O público cresce por substituição geracional</w:t>
      </w:r>
      <w:bookmarkEnd w:id="18"/>
    </w:p>
    <w:p w14:paraId="54F969C9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Entre empreendedores de até 34 anos, o uso de aplicativos de gestão já chega a 57%, contra 47% na média geral. Essa diferença não é </w:t>
      </w:r>
      <w:proofErr w:type="gramStart"/>
      <w:r w:rsidRPr="008F0039">
        <w:rPr>
          <w:rFonts w:ascii="Times New Roman" w:hAnsi="Times New Roman" w:cs="Times New Roman"/>
        </w:rPr>
        <w:t>ruído</w:t>
      </w:r>
      <w:proofErr w:type="gramEnd"/>
      <w:r w:rsidRPr="008F0039">
        <w:rPr>
          <w:rFonts w:ascii="Times New Roman" w:hAnsi="Times New Roman" w:cs="Times New Roman"/>
        </w:rPr>
        <w:t xml:space="preserve"> — é uma fotografia de coorte. Quem abre negócio hoje amadureceu digitalmente dentro de interfaces de conversa. A cada ciclo de renovação empresarial, a fração de gestores que espera interagir por linguagem natural tende a crescer, e a fração treinada em navegação por menus tende a diminuir. A predição é que o encaixe do produto com o mercado não é uma janela que se fecha, mas uma que se abre progressivamente.</w:t>
      </w:r>
    </w:p>
    <w:p w14:paraId="7F5C2E30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19" w:name="_Toc239075104"/>
      <w:r w:rsidRPr="008F0039">
        <w:rPr>
          <w:rFonts w:ascii="Times New Roman" w:hAnsi="Times New Roman" w:cs="Times New Roman"/>
        </w:rPr>
        <w:t>6.2 O mercado tende a pular a era do ERP tradicional (</w:t>
      </w:r>
      <w:proofErr w:type="spellStart"/>
      <w:r w:rsidRPr="008F0039">
        <w:rPr>
          <w:rFonts w:ascii="Times New Roman" w:hAnsi="Times New Roman" w:cs="Times New Roman"/>
        </w:rPr>
        <w:t>leapfrog</w:t>
      </w:r>
      <w:proofErr w:type="spellEnd"/>
      <w:r w:rsidRPr="008F0039">
        <w:rPr>
          <w:rFonts w:ascii="Times New Roman" w:hAnsi="Times New Roman" w:cs="Times New Roman"/>
        </w:rPr>
        <w:t>)</w:t>
      </w:r>
      <w:bookmarkEnd w:id="19"/>
    </w:p>
    <w:p w14:paraId="0E64F667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Segue-se o padrão de salto tecnológico observado em outras transições brasileiras (o país que pulou o cheque e foi direto ao Pix). Os 53% de pequenos negócios que nunca adotaram software de gestão dificilmente passarão por uma fase intermediária de "aprender um ERP de menus"; sua primeira experiência com sistema estruturado tende a ser conversacional ou simplesmente não ocorrerá. Consequência prática: o concorrente direto do produto não é um ERP estabelecido, é a planilha e a conversa informal — o sistema não precisa superar concorrentes em quantidade de funcionalidades, precisa superar o caderno em conveniência.</w:t>
      </w:r>
    </w:p>
    <w:p w14:paraId="524D96C6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20" w:name="_Toc239075105"/>
      <w:r w:rsidRPr="008F0039">
        <w:rPr>
          <w:rFonts w:ascii="Times New Roman" w:hAnsi="Times New Roman" w:cs="Times New Roman"/>
        </w:rPr>
        <w:t>6.3 A adoção será decidida por confiança, não por capacidade técnica</w:t>
      </w:r>
      <w:bookmarkEnd w:id="20"/>
    </w:p>
    <w:p w14:paraId="059DFD1B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O receio predominante nesse perfil de usuário é o de "clicar errado e estragar algo" — motivo frequente pelo qual esse público delega o sistema a terceiros (como o contador) e nunca </w:t>
      </w:r>
      <w:proofErr w:type="gramStart"/>
      <w:r w:rsidRPr="008F0039">
        <w:rPr>
          <w:rFonts w:ascii="Times New Roman" w:hAnsi="Times New Roman" w:cs="Times New Roman"/>
        </w:rPr>
        <w:t>o opera</w:t>
      </w:r>
      <w:proofErr w:type="gramEnd"/>
      <w:r w:rsidRPr="008F0039">
        <w:rPr>
          <w:rFonts w:ascii="Times New Roman" w:hAnsi="Times New Roman" w:cs="Times New Roman"/>
        </w:rPr>
        <w:t xml:space="preserve"> diretamente. A predição é que a retenção de um sistema como este correlacionará mais com a qualidade do fluxo de confirmação (mostrar o que vai acontecer antes de acontecer, permitir desfazer, explicar o resultado) do que com a quantidade de funcionalidades oferecidas. Isso eleva o card de confirmação de escrita de mero requisito de governança a principal mecanismo de construção de confiança do produto.</w:t>
      </w:r>
    </w:p>
    <w:p w14:paraId="190399C0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21" w:name="_Toc239075106"/>
      <w:r w:rsidRPr="008F0039">
        <w:rPr>
          <w:rFonts w:ascii="Times New Roman" w:hAnsi="Times New Roman" w:cs="Times New Roman"/>
        </w:rPr>
        <w:t>6.4 O uso tenderá a ser móvel, fragmentado e, no Brasil, falado</w:t>
      </w:r>
      <w:bookmarkEnd w:id="21"/>
    </w:p>
    <w:p w14:paraId="3A2E2348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lastRenderedPageBreak/>
        <w:t xml:space="preserve">O padrão de uso esperado é de sessões curtas e frequentes, predominantemente em celular, encaixadas nas brechas da operação — no balcão, entre atendimentos, no fechamento do dia. Um fator cultural específico do Brasil reforça essa predição: a cultura do áudio de WhatsApp. Um público que já administra fornecedores e clientes por </w:t>
      </w:r>
      <w:proofErr w:type="spellStart"/>
      <w:r w:rsidRPr="008F0039">
        <w:rPr>
          <w:rFonts w:ascii="Times New Roman" w:hAnsi="Times New Roman" w:cs="Times New Roman"/>
        </w:rPr>
        <w:t>mensagem</w:t>
      </w:r>
      <w:proofErr w:type="spellEnd"/>
      <w:r w:rsidRPr="008F0039">
        <w:rPr>
          <w:rFonts w:ascii="Times New Roman" w:hAnsi="Times New Roman" w:cs="Times New Roman"/>
        </w:rPr>
        <w:t xml:space="preserve"> de voz tende a tratar a entrada por voz não como recurso avançado, mas como expectativa natural de uso — item registrado como trabalho futuro do projeto.</w:t>
      </w:r>
    </w:p>
    <w:p w14:paraId="170C5468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22" w:name="_Toc239075107"/>
      <w:r w:rsidRPr="008F0039">
        <w:rPr>
          <w:rFonts w:ascii="Times New Roman" w:hAnsi="Times New Roman" w:cs="Times New Roman"/>
        </w:rPr>
        <w:t>6.5 A interface estrutura o dado que hoje não existe — e reabre a predição original</w:t>
      </w:r>
      <w:bookmarkEnd w:id="22"/>
    </w:p>
    <w:p w14:paraId="4F0EC5B0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Hoje esse público é, do ponto de vista de dados, praticamente invisível: sua operação vive em planilhas informais e conversas de WhatsApp, sem estrutura analisável. Ao capturar cada intenção do usuário como uma chamada de ferramenta </w:t>
      </w:r>
      <w:proofErr w:type="spellStart"/>
      <w:r w:rsidRPr="008F0039">
        <w:rPr>
          <w:rFonts w:ascii="Times New Roman" w:hAnsi="Times New Roman" w:cs="Times New Roman"/>
        </w:rPr>
        <w:t>tipada</w:t>
      </w:r>
      <w:proofErr w:type="spellEnd"/>
      <w:r w:rsidRPr="008F0039">
        <w:rPr>
          <w:rFonts w:ascii="Times New Roman" w:hAnsi="Times New Roman" w:cs="Times New Roman"/>
        </w:rPr>
        <w:t>, o sistema estrutura esse dado no banco como efeito colateral do uso comum, sem exigir esforço adicional do usuário. Depois de meses de uso, esse negócio passa a ter, pela primeira vez, um histórico limpo e analisável.</w:t>
      </w:r>
    </w:p>
    <w:p w14:paraId="04C2DBB7" w14:textId="77777777" w:rsidR="006E20DA" w:rsidRPr="008F0039" w:rsidRDefault="00000000">
      <w:pPr>
        <w:spacing w:before="200" w:after="80"/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noProof/>
        </w:rPr>
        <w:drawing>
          <wp:inline distT="0" distB="0" distL="0" distR="0" wp14:anchorId="1F33FC19" wp14:editId="285B0AB3">
            <wp:extent cx="4381500" cy="4000500"/>
            <wp:effectExtent l="0" t="0" r="0" b="0"/>
            <wp:docPr id="357836087" name="Imagem 357836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A8BD" w14:textId="77777777" w:rsidR="006E20DA" w:rsidRPr="008F0039" w:rsidRDefault="00000000">
      <w:pPr>
        <w:spacing w:after="300"/>
        <w:jc w:val="center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i/>
          <w:iCs/>
          <w:color w:val="444441"/>
          <w:sz w:val="18"/>
          <w:szCs w:val="18"/>
        </w:rPr>
        <w:t>Figura 4 — Ciclo pelo qual a interface conversacional viabiliza, no futuro, a camada preditiva do anteprojeto original.</w:t>
      </w:r>
    </w:p>
    <w:p w14:paraId="6A1D2968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Essa predição fecha um ciclo narrativo importante para o TCC: a camada de detecção de anomalias e manutenção preditiva do anteprojeto original — descartada por falta de dado histórico e de tempo hábil para treinamento — deixa de ser inviável e passa a ser um trabalho futuro natural, já apoiado sobre dados estruturados gerados pela própria interface conversacional.</w:t>
      </w:r>
    </w:p>
    <w:p w14:paraId="7BCA774F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23" w:name="_Toc239075108"/>
      <w:r w:rsidRPr="008F0039">
        <w:rPr>
          <w:rFonts w:ascii="Times New Roman" w:hAnsi="Times New Roman" w:cs="Times New Roman"/>
        </w:rPr>
        <w:t>6.6 Risco previsto: fadiga de confirmação</w:t>
      </w:r>
      <w:bookmarkEnd w:id="23"/>
    </w:p>
    <w:p w14:paraId="21500D8F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À medida que a confiança no sistema cresce, é esperado que o usuário passe a confirmar ações automaticamente, sem revisar o conteúdo — o mesmo padrão observado na aceitação irrefletida de termos de uso. Como a tolerância a erro desse público é assimétrica (uma consulta errada é irrelevante; um pagamento errado é grave), a predição é que o sistema precisará de fricção proporcional ao risco da ação: confirmação </w:t>
      </w:r>
      <w:r w:rsidRPr="008F0039">
        <w:rPr>
          <w:rFonts w:ascii="Times New Roman" w:hAnsi="Times New Roman" w:cs="Times New Roman"/>
        </w:rPr>
        <w:lastRenderedPageBreak/>
        <w:t>simples para operações de baixo impacto, confirmação reforçada (segunda etapa, resumo de valores, ou similar) para ações financeiras ou em massa. Esse ponto é tratado como limitação de projeto na seção 9.</w:t>
      </w:r>
    </w:p>
    <w:p w14:paraId="1724E42B" w14:textId="77777777" w:rsidR="006E20DA" w:rsidRPr="008F0039" w:rsidRDefault="00000000">
      <w:pPr>
        <w:pStyle w:val="Ttulo2"/>
        <w:rPr>
          <w:rFonts w:ascii="Times New Roman" w:hAnsi="Times New Roman" w:cs="Times New Roman"/>
        </w:rPr>
      </w:pPr>
      <w:bookmarkStart w:id="24" w:name="_Toc239075109"/>
      <w:r w:rsidRPr="008F0039">
        <w:rPr>
          <w:rFonts w:ascii="Times New Roman" w:hAnsi="Times New Roman" w:cs="Times New Roman"/>
        </w:rPr>
        <w:t>6.7 Síntese</w:t>
      </w:r>
      <w:bookmarkEnd w:id="24"/>
    </w:p>
    <w:p w14:paraId="7D520874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  <w:b/>
          <w:bCs/>
        </w:rPr>
        <w:t>O público-alvo não se define apenas por porte de empresa, mas por um perfil cognitivo: gestores cuja alfabetização digital ocorreu em interfaces de conversa, administrando negócios complexos demais para planilha e simples demais para ERP. Esse grupo tende a crescer a cada ano e dificilmente será convertido por software de menus tradicionais.</w:t>
      </w:r>
    </w:p>
    <w:p w14:paraId="4F1B4B3E" w14:textId="77777777" w:rsidR="006E20DA" w:rsidRPr="008F0039" w:rsidRDefault="00000000">
      <w:pPr>
        <w:pStyle w:val="Ttulo1"/>
        <w:rPr>
          <w:rFonts w:ascii="Times New Roman" w:hAnsi="Times New Roman" w:cs="Times New Roman"/>
        </w:rPr>
      </w:pPr>
      <w:bookmarkStart w:id="25" w:name="_Toc239075110"/>
      <w:r w:rsidRPr="008F0039">
        <w:rPr>
          <w:rFonts w:ascii="Times New Roman" w:hAnsi="Times New Roman" w:cs="Times New Roman"/>
        </w:rPr>
        <w:t>7. Protótipo de interface</w:t>
      </w:r>
      <w:bookmarkEnd w:id="25"/>
    </w:p>
    <w:p w14:paraId="65226229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O protótipo visual de baixa fidelidade foi desenvolvido no </w:t>
      </w:r>
      <w:proofErr w:type="spellStart"/>
      <w:r w:rsidRPr="008F0039">
        <w:rPr>
          <w:rFonts w:ascii="Times New Roman" w:hAnsi="Times New Roman" w:cs="Times New Roman"/>
        </w:rPr>
        <w:t>Figma</w:t>
      </w:r>
      <w:proofErr w:type="spellEnd"/>
      <w:r w:rsidRPr="008F0039">
        <w:rPr>
          <w:rFonts w:ascii="Times New Roman" w:hAnsi="Times New Roman" w:cs="Times New Roman"/>
        </w:rPr>
        <w:t xml:space="preserve"> e está disponível para consulta da equipe e do orientador em:</w:t>
      </w:r>
    </w:p>
    <w:p w14:paraId="731CBA86" w14:textId="77777777" w:rsidR="006E20DA" w:rsidRPr="008F0039" w:rsidRDefault="006E20DA">
      <w:pPr>
        <w:spacing w:after="240"/>
        <w:rPr>
          <w:rFonts w:ascii="Times New Roman" w:hAnsi="Times New Roman" w:cs="Times New Roman"/>
        </w:rPr>
      </w:pPr>
      <w:hyperlink r:id="rId11" w:history="1">
        <w:r w:rsidRPr="008F0039">
          <w:rPr>
            <w:rStyle w:val="Hyperlink"/>
            <w:rFonts w:ascii="Times New Roman" w:hAnsi="Times New Roman" w:cs="Times New Roman"/>
          </w:rPr>
          <w:t>https://www.figma.co</w:t>
        </w:r>
        <w:r w:rsidRPr="008F0039">
          <w:rPr>
            <w:rStyle w:val="Hyperlink"/>
            <w:rFonts w:ascii="Times New Roman" w:hAnsi="Times New Roman" w:cs="Times New Roman"/>
          </w:rPr>
          <w:t>m</w:t>
        </w:r>
        <w:r w:rsidRPr="008F0039">
          <w:rPr>
            <w:rStyle w:val="Hyperlink"/>
            <w:rFonts w:ascii="Times New Roman" w:hAnsi="Times New Roman" w:cs="Times New Roman"/>
          </w:rPr>
          <w:t>/design/CGcy71aZf172pjjyEqimTQ/Sentinel?node-id=2-7</w:t>
        </w:r>
      </w:hyperlink>
    </w:p>
    <w:p w14:paraId="302C9BA5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O protótipo cobre quatro telas que narram o ciclo completo de uso do sistema:</w:t>
      </w:r>
    </w:p>
    <w:p w14:paraId="3A5BD13F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Tela 1 — Consulta conversacional: o usuário pergunta em linguagem natural e recebe uma tabela editável e exportável como resposta.</w:t>
      </w:r>
    </w:p>
    <w:p w14:paraId="6F774296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Tela 2 — Confirmação de ação em massa: a IA propõe uma alteração de dados, resume o impacto e aguarda confirmação explícita antes de gravar.</w:t>
      </w:r>
    </w:p>
    <w:p w14:paraId="4D42797D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Tela 3 — Log de auditoria: histórico de ações da </w:t>
      </w:r>
      <w:proofErr w:type="gramStart"/>
      <w:r w:rsidRPr="008F0039">
        <w:rPr>
          <w:rFonts w:ascii="Times New Roman" w:hAnsi="Times New Roman" w:cs="Times New Roman"/>
        </w:rPr>
        <w:t>IA, incluindo</w:t>
      </w:r>
      <w:proofErr w:type="gramEnd"/>
      <w:r w:rsidRPr="008F0039">
        <w:rPr>
          <w:rFonts w:ascii="Times New Roman" w:hAnsi="Times New Roman" w:cs="Times New Roman"/>
        </w:rPr>
        <w:t xml:space="preserve"> ao menos um exemplo de ação negada por falta de permissão (RBAC em funcionamento).</w:t>
      </w:r>
    </w:p>
    <w:p w14:paraId="0A3B9A23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Tela 4 — Formulário pré-preenchido: a IA identifica intenção de cadastro ou atualização e abre o formulário </w:t>
      </w:r>
      <w:proofErr w:type="spellStart"/>
      <w:r w:rsidRPr="008F0039">
        <w:rPr>
          <w:rFonts w:ascii="Times New Roman" w:hAnsi="Times New Roman" w:cs="Times New Roman"/>
        </w:rPr>
        <w:t>Blade</w:t>
      </w:r>
      <w:proofErr w:type="spellEnd"/>
      <w:r w:rsidRPr="008F0039">
        <w:rPr>
          <w:rFonts w:ascii="Times New Roman" w:hAnsi="Times New Roman" w:cs="Times New Roman"/>
        </w:rPr>
        <w:t xml:space="preserve"> já existente, com os campos extraídos da frase preenchidos e os campos obrigatórios faltantes destacados.</w:t>
      </w:r>
    </w:p>
    <w:p w14:paraId="2B94EF82" w14:textId="2494160C" w:rsidR="008F0039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Essas quatro telas, apresentadas nessa ordem, funcionam como narrativa de </w:t>
      </w:r>
      <w:proofErr w:type="spellStart"/>
      <w:r w:rsidRPr="008F0039">
        <w:rPr>
          <w:rFonts w:ascii="Times New Roman" w:hAnsi="Times New Roman" w:cs="Times New Roman"/>
        </w:rPr>
        <w:t>pitch</w:t>
      </w:r>
      <w:proofErr w:type="spellEnd"/>
      <w:r w:rsidRPr="008F0039">
        <w:rPr>
          <w:rFonts w:ascii="Times New Roman" w:hAnsi="Times New Roman" w:cs="Times New Roman"/>
        </w:rPr>
        <w:t>: "eu pergunto, o sistema responde com dado real; eu peço para agir, ele confirma antes de agir; e tudo fica auditado" — e tornam explícitos, só pela sequência, os três principais requisitos não-funcionais do projeto (confirmação, auditoria e controle de acesso).</w:t>
      </w:r>
    </w:p>
    <w:p w14:paraId="601E7DFC" w14:textId="77777777" w:rsidR="008F0039" w:rsidRDefault="008F0039">
      <w:r>
        <w:br w:type="page"/>
      </w:r>
    </w:p>
    <w:p w14:paraId="0CF6509B" w14:textId="607F0A25" w:rsidR="002D36CD" w:rsidRDefault="008F0039" w:rsidP="002D36CD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8.</w:t>
      </w:r>
      <w:r w:rsidRPr="008F0039">
        <w:rPr>
          <w:rFonts w:ascii="Times New Roman" w:hAnsi="Times New Roman" w:cs="Times New Roman"/>
        </w:rPr>
        <w:t>Fluxograma da aplicação</w:t>
      </w:r>
    </w:p>
    <w:p w14:paraId="26D3A3A7" w14:textId="77777777" w:rsidR="002D36CD" w:rsidRDefault="002D36CD" w:rsidP="002D36CD">
      <w:pPr>
        <w:pStyle w:val="Forte1"/>
      </w:pPr>
    </w:p>
    <w:p w14:paraId="54B237D4" w14:textId="04B5245B" w:rsidR="002D36CD" w:rsidRDefault="002D36CD" w:rsidP="002D36CD">
      <w:pPr>
        <w:pStyle w:val="Ttulo2"/>
        <w:rPr>
          <w:rFonts w:ascii="Times New Roman" w:hAnsi="Times New Roman" w:cs="Times New Roman"/>
        </w:rPr>
      </w:pPr>
      <w:r w:rsidRPr="002D36CD">
        <w:rPr>
          <w:rFonts w:ascii="Times New Roman" w:hAnsi="Times New Roman" w:cs="Times New Roman"/>
        </w:rPr>
        <w:t>Fluxo Geral do Sentinel</w:t>
      </w:r>
    </w:p>
    <w:p w14:paraId="27C7E9FC" w14:textId="77777777" w:rsidR="002D36CD" w:rsidRDefault="002D36CD" w:rsidP="002D36CD">
      <w:pPr>
        <w:pStyle w:val="Forte1"/>
      </w:pPr>
    </w:p>
    <w:p w14:paraId="5F51B2FF" w14:textId="533288AD" w:rsidR="002D36CD" w:rsidRPr="002D36CD" w:rsidRDefault="002D36CD" w:rsidP="002D36CD">
      <w:pPr>
        <w:spacing w:after="200" w:line="300" w:lineRule="auto"/>
        <w:rPr>
          <w:rFonts w:ascii="Times New Roman" w:hAnsi="Times New Roman" w:cs="Times New Roman"/>
        </w:rPr>
      </w:pPr>
      <w:r w:rsidRPr="002D36CD">
        <w:rPr>
          <w:rFonts w:ascii="Times New Roman" w:hAnsi="Times New Roman" w:cs="Times New Roman"/>
        </w:rPr>
        <w:t xml:space="preserve">O fluxograma apresenta o funcionamento do </w:t>
      </w:r>
      <w:r w:rsidRPr="002D36CD">
        <w:rPr>
          <w:rFonts w:ascii="Times New Roman" w:hAnsi="Times New Roman" w:cs="Times New Roman"/>
          <w:b/>
          <w:bCs/>
        </w:rPr>
        <w:t>Sentinel</w:t>
      </w:r>
      <w:r w:rsidRPr="002D36CD">
        <w:rPr>
          <w:rFonts w:ascii="Times New Roman" w:hAnsi="Times New Roman" w:cs="Times New Roman"/>
        </w:rPr>
        <w:t>, desde a entrada de uma solicitação em linguagem natural até sua interpretação, validação, execução e registro. A proposta é simplificar a interação com sistemas de gestão, permitindo que o usuário expresse diretamente sua intenção, enquanto o sistema realiza a mediação necessária para transformar essa solicitação em uma operação válida.</w:t>
      </w:r>
    </w:p>
    <w:p w14:paraId="5C4CB77A" w14:textId="77777777" w:rsidR="002D36CD" w:rsidRPr="002D36CD" w:rsidRDefault="002D36CD" w:rsidP="002D36CD">
      <w:pPr>
        <w:spacing w:after="200" w:line="300" w:lineRule="auto"/>
        <w:rPr>
          <w:rFonts w:ascii="Times New Roman" w:hAnsi="Times New Roman" w:cs="Times New Roman"/>
        </w:rPr>
      </w:pPr>
      <w:r w:rsidRPr="002D36CD">
        <w:rPr>
          <w:rFonts w:ascii="Times New Roman" w:hAnsi="Times New Roman" w:cs="Times New Roman"/>
        </w:rPr>
        <w:t xml:space="preserve">Nesse processo, o </w:t>
      </w:r>
      <w:r w:rsidRPr="002D36CD">
        <w:rPr>
          <w:rFonts w:ascii="Times New Roman" w:hAnsi="Times New Roman" w:cs="Times New Roman"/>
          <w:b/>
          <w:bCs/>
        </w:rPr>
        <w:t>LLM</w:t>
      </w:r>
      <w:r w:rsidRPr="002D36CD">
        <w:rPr>
          <w:rFonts w:ascii="Times New Roman" w:hAnsi="Times New Roman" w:cs="Times New Roman"/>
        </w:rPr>
        <w:t xml:space="preserve"> atua na interpretação da intenção e na seleção das ferramentas disponíveis, enquanto mecanismos como </w:t>
      </w:r>
      <w:proofErr w:type="spellStart"/>
      <w:r w:rsidRPr="002D36CD">
        <w:rPr>
          <w:rFonts w:ascii="Times New Roman" w:hAnsi="Times New Roman" w:cs="Times New Roman"/>
          <w:b/>
          <w:bCs/>
        </w:rPr>
        <w:t>Whitelist</w:t>
      </w:r>
      <w:proofErr w:type="spellEnd"/>
      <w:r w:rsidRPr="002D36CD">
        <w:rPr>
          <w:rFonts w:ascii="Times New Roman" w:hAnsi="Times New Roman" w:cs="Times New Roman"/>
          <w:b/>
          <w:bCs/>
        </w:rPr>
        <w:t xml:space="preserve"> e RBAC</w:t>
      </w:r>
      <w:r w:rsidRPr="002D36CD">
        <w:rPr>
          <w:rFonts w:ascii="Times New Roman" w:hAnsi="Times New Roman" w:cs="Times New Roman"/>
        </w:rPr>
        <w:t xml:space="preserve"> restringem as operações de acordo com as permissões do usuário. Para ações que modificam dados, o sistema estabelece uma etapa de </w:t>
      </w:r>
      <w:r w:rsidRPr="002D36CD">
        <w:rPr>
          <w:rFonts w:ascii="Times New Roman" w:hAnsi="Times New Roman" w:cs="Times New Roman"/>
          <w:b/>
          <w:bCs/>
        </w:rPr>
        <w:t>confirmação explícita</w:t>
      </w:r>
      <w:r w:rsidRPr="002D36CD">
        <w:rPr>
          <w:rFonts w:ascii="Times New Roman" w:hAnsi="Times New Roman" w:cs="Times New Roman"/>
        </w:rPr>
        <w:t>, permitindo que a decisão permaneça sob responsabilidade do usuário antes da execução.</w:t>
      </w:r>
    </w:p>
    <w:p w14:paraId="0627B12B" w14:textId="77777777" w:rsidR="002D36CD" w:rsidRPr="002D36CD" w:rsidRDefault="002D36CD" w:rsidP="002D36CD">
      <w:pPr>
        <w:spacing w:after="200" w:line="300" w:lineRule="auto"/>
        <w:rPr>
          <w:rFonts w:ascii="Times New Roman" w:hAnsi="Times New Roman" w:cs="Times New Roman"/>
        </w:rPr>
      </w:pPr>
      <w:r w:rsidRPr="002D36CD">
        <w:rPr>
          <w:rFonts w:ascii="Times New Roman" w:hAnsi="Times New Roman" w:cs="Times New Roman"/>
        </w:rPr>
        <w:t xml:space="preserve">Após a autorização, a operação é processada pelo </w:t>
      </w:r>
      <w:r w:rsidRPr="002D36CD">
        <w:rPr>
          <w:rFonts w:ascii="Times New Roman" w:hAnsi="Times New Roman" w:cs="Times New Roman"/>
          <w:b/>
          <w:bCs/>
        </w:rPr>
        <w:t>backend Laravel</w:t>
      </w:r>
      <w:r w:rsidRPr="002D36CD">
        <w:rPr>
          <w:rFonts w:ascii="Times New Roman" w:hAnsi="Times New Roman" w:cs="Times New Roman"/>
        </w:rPr>
        <w:t xml:space="preserve">, responsável pelas validações, regras de negócio e comunicação com o banco de dados. Ao final, as ações realizadas são registradas no </w:t>
      </w:r>
      <w:r w:rsidRPr="002D36CD">
        <w:rPr>
          <w:rFonts w:ascii="Times New Roman" w:hAnsi="Times New Roman" w:cs="Times New Roman"/>
          <w:b/>
          <w:bCs/>
        </w:rPr>
        <w:t>Log de Auditoria</w:t>
      </w:r>
      <w:r w:rsidRPr="002D36CD">
        <w:rPr>
          <w:rFonts w:ascii="Times New Roman" w:hAnsi="Times New Roman" w:cs="Times New Roman"/>
        </w:rPr>
        <w:t>, proporcionando rastreabilidade sobre as operações executadas pelo sistema.</w:t>
      </w:r>
    </w:p>
    <w:p w14:paraId="3BC47D09" w14:textId="77777777" w:rsidR="002D36CD" w:rsidRPr="002D36CD" w:rsidRDefault="002D36CD" w:rsidP="002D36CD">
      <w:pPr>
        <w:spacing w:after="200" w:line="300" w:lineRule="auto"/>
        <w:rPr>
          <w:rFonts w:ascii="Times New Roman" w:hAnsi="Times New Roman" w:cs="Times New Roman"/>
        </w:rPr>
      </w:pPr>
      <w:r w:rsidRPr="002D36CD">
        <w:rPr>
          <w:rFonts w:ascii="Times New Roman" w:hAnsi="Times New Roman" w:cs="Times New Roman"/>
        </w:rPr>
        <w:t xml:space="preserve">Dessa forma, o Sentinel combina </w:t>
      </w:r>
      <w:r w:rsidRPr="002D36CD">
        <w:rPr>
          <w:rFonts w:ascii="Times New Roman" w:hAnsi="Times New Roman" w:cs="Times New Roman"/>
          <w:b/>
          <w:bCs/>
        </w:rPr>
        <w:t>interação em linguagem natural, automação e mecanismos de controle</w:t>
      </w:r>
      <w:r w:rsidRPr="002D36CD">
        <w:rPr>
          <w:rFonts w:ascii="Times New Roman" w:hAnsi="Times New Roman" w:cs="Times New Roman"/>
        </w:rPr>
        <w:t xml:space="preserve">, buscando tornar sistemas de gestão mais acessíveis sem </w:t>
      </w:r>
      <w:proofErr w:type="gramStart"/>
      <w:r w:rsidRPr="002D36CD">
        <w:rPr>
          <w:rFonts w:ascii="Times New Roman" w:hAnsi="Times New Roman" w:cs="Times New Roman"/>
        </w:rPr>
        <w:t>abrir mão da</w:t>
      </w:r>
      <w:proofErr w:type="gramEnd"/>
      <w:r w:rsidRPr="002D36CD">
        <w:rPr>
          <w:rFonts w:ascii="Times New Roman" w:hAnsi="Times New Roman" w:cs="Times New Roman"/>
        </w:rPr>
        <w:t xml:space="preserve"> segurança, da validação e da participação humana nas decisões relevantes.</w:t>
      </w:r>
    </w:p>
    <w:p w14:paraId="5427F249" w14:textId="77777777" w:rsidR="00386044" w:rsidRDefault="00386044" w:rsidP="00386044">
      <w:pPr>
        <w:spacing w:after="200" w:line="300" w:lineRule="auto"/>
        <w:rPr>
          <w:rFonts w:ascii="Times New Roman" w:hAnsi="Times New Roman" w:cs="Times New Roman"/>
        </w:rPr>
      </w:pPr>
    </w:p>
    <w:p w14:paraId="2A1524BC" w14:textId="77777777" w:rsidR="00386044" w:rsidRDefault="00386044">
      <w:pPr>
        <w:rPr>
          <w:rFonts w:ascii="Times New Roman" w:hAnsi="Times New Roman" w:cs="Times New Roman"/>
          <w:b/>
          <w:bCs/>
          <w:color w:val="26215C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50776FBC" w14:textId="731715A1" w:rsidR="002D36CD" w:rsidRPr="002D36CD" w:rsidRDefault="002D36CD" w:rsidP="002D36CD">
      <w:pPr>
        <w:pStyle w:val="Ttulo2"/>
      </w:pPr>
      <w:r w:rsidRPr="002D36CD">
        <w:lastRenderedPageBreak/>
        <w:t xml:space="preserve">Explicação </w:t>
      </w:r>
      <w:r>
        <w:t>–</w:t>
      </w:r>
      <w:r w:rsidRPr="002D36CD">
        <w:t xml:space="preserve"> P</w:t>
      </w:r>
      <w:r w:rsidR="00B42C58" w:rsidRPr="002D36CD">
        <w:t>arte</w:t>
      </w:r>
      <w:r>
        <w:t xml:space="preserve"> </w:t>
      </w:r>
      <w:r w:rsidR="00B42C58" w:rsidRPr="002D36CD">
        <w:t>1</w:t>
      </w:r>
    </w:p>
    <w:p w14:paraId="2924A17C" w14:textId="77777777" w:rsidR="002D36CD" w:rsidRDefault="002D36CD" w:rsidP="002D36CD">
      <w:pPr>
        <w:pStyle w:val="Forte1"/>
      </w:pPr>
    </w:p>
    <w:p w14:paraId="761F84EC" w14:textId="77777777" w:rsidR="002D36CD" w:rsidRDefault="002D36CD" w:rsidP="002D36CD">
      <w:pPr>
        <w:pStyle w:val="Forte1"/>
        <w:rPr>
          <w:rFonts w:ascii="Times New Roman" w:hAnsi="Times New Roman" w:cs="Times New Roman"/>
          <w:b w:val="0"/>
          <w:bCs w:val="0"/>
        </w:rPr>
      </w:pPr>
      <w:r w:rsidRPr="002D36CD">
        <w:rPr>
          <w:rFonts w:ascii="Times New Roman" w:hAnsi="Times New Roman" w:cs="Times New Roman"/>
          <w:b w:val="0"/>
          <w:bCs w:val="0"/>
        </w:rPr>
        <w:t>O fluxo começa com o usuário fazendo uma solicitação em linguagem natural. O sistema verifica se a API de IA está disponível. Caso não esteja, o comando é armazenado em uma fila e o CRUD tradicional continua disponível.</w:t>
      </w:r>
    </w:p>
    <w:p w14:paraId="29CA4451" w14:textId="77777777" w:rsidR="002D36CD" w:rsidRPr="002D36CD" w:rsidRDefault="002D36CD" w:rsidP="002D36CD">
      <w:pPr>
        <w:pStyle w:val="Forte1"/>
        <w:rPr>
          <w:rFonts w:ascii="Times New Roman" w:hAnsi="Times New Roman" w:cs="Times New Roman"/>
          <w:b w:val="0"/>
          <w:bCs w:val="0"/>
        </w:rPr>
      </w:pPr>
    </w:p>
    <w:p w14:paraId="15808DD8" w14:textId="77777777" w:rsidR="002D36CD" w:rsidRDefault="002D36CD" w:rsidP="002D36CD">
      <w:pPr>
        <w:pStyle w:val="Forte1"/>
        <w:rPr>
          <w:rFonts w:ascii="Times New Roman" w:hAnsi="Times New Roman" w:cs="Times New Roman"/>
          <w:b w:val="0"/>
          <w:bCs w:val="0"/>
        </w:rPr>
      </w:pPr>
      <w:r w:rsidRPr="002D36CD">
        <w:rPr>
          <w:rFonts w:ascii="Times New Roman" w:hAnsi="Times New Roman" w:cs="Times New Roman"/>
          <w:b w:val="0"/>
          <w:bCs w:val="0"/>
        </w:rPr>
        <w:t>Se a IA estiver disponível, o Orquestrador Laravel prepara a solicitação e verifica as ferramentas permitidas para o usuário. O LLM interpreta o pedido e seleciona a ferramenta adequada</w:t>
      </w:r>
    </w:p>
    <w:p w14:paraId="323B548F" w14:textId="376414D9" w:rsidR="002D36CD" w:rsidRPr="002D36CD" w:rsidRDefault="002D36CD" w:rsidP="002D36CD">
      <w:pPr>
        <w:pStyle w:val="Forte1"/>
        <w:rPr>
          <w:rFonts w:ascii="Times New Roman" w:hAnsi="Times New Roman" w:cs="Times New Roman"/>
          <w:b w:val="0"/>
          <w:bCs w:val="0"/>
        </w:rPr>
      </w:pPr>
      <w:r w:rsidRPr="002D36CD">
        <w:rPr>
          <w:rFonts w:ascii="Times New Roman" w:hAnsi="Times New Roman" w:cs="Times New Roman"/>
          <w:b w:val="0"/>
          <w:bCs w:val="0"/>
        </w:rPr>
        <w:t>.</w:t>
      </w:r>
    </w:p>
    <w:p w14:paraId="2927D17C" w14:textId="77777777" w:rsidR="002D36CD" w:rsidRDefault="002D36CD" w:rsidP="002D36CD">
      <w:pPr>
        <w:pStyle w:val="Forte1"/>
        <w:rPr>
          <w:rFonts w:ascii="Times New Roman" w:hAnsi="Times New Roman" w:cs="Times New Roman"/>
          <w:b w:val="0"/>
          <w:bCs w:val="0"/>
        </w:rPr>
      </w:pPr>
      <w:r w:rsidRPr="002D36CD">
        <w:rPr>
          <w:rFonts w:ascii="Times New Roman" w:hAnsi="Times New Roman" w:cs="Times New Roman"/>
          <w:b w:val="0"/>
          <w:bCs w:val="0"/>
        </w:rPr>
        <w:t>Por fim, o sistema identifica se a solicitação é uma consulta, uma ação sobre dados ou um cadastro/atualização, encaminhando cada caso para seu respectivo fluxo.</w:t>
      </w:r>
    </w:p>
    <w:p w14:paraId="41142119" w14:textId="77777777" w:rsidR="002D36CD" w:rsidRPr="002D36CD" w:rsidRDefault="002D36CD" w:rsidP="002D36CD">
      <w:pPr>
        <w:pStyle w:val="Forte1"/>
        <w:rPr>
          <w:rFonts w:ascii="Times New Roman" w:hAnsi="Times New Roman" w:cs="Times New Roman"/>
          <w:b w:val="0"/>
          <w:bCs w:val="0"/>
        </w:rPr>
      </w:pPr>
    </w:p>
    <w:p w14:paraId="696159B1" w14:textId="77777777" w:rsidR="002D36CD" w:rsidRDefault="002D36CD" w:rsidP="002D36CD">
      <w:pPr>
        <w:pStyle w:val="Forte1"/>
      </w:pPr>
    </w:p>
    <w:p w14:paraId="476B63E8" w14:textId="4F72BC43" w:rsidR="008F0039" w:rsidRDefault="00B42C58" w:rsidP="00B83D80">
      <w:pPr>
        <w:pStyle w:val="Forte1"/>
      </w:pPr>
      <w:r w:rsidRPr="00B42C58">
        <w:drawing>
          <wp:inline distT="0" distB="0" distL="0" distR="0" wp14:anchorId="7FAD39D7" wp14:editId="08A5506A">
            <wp:extent cx="4038600" cy="6286500"/>
            <wp:effectExtent l="152400" t="171450" r="171450" b="171450"/>
            <wp:docPr id="274694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943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6" cy="628738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EC4D09D" w14:textId="77777777" w:rsidR="008F0039" w:rsidRDefault="008F0039">
      <w:pPr>
        <w:rPr>
          <w:rFonts w:ascii="Times New Roman" w:hAnsi="Times New Roman" w:cs="Times New Roman"/>
          <w:b/>
          <w:bCs/>
          <w:color w:val="26215C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1DB12999" w14:textId="61ACE4E1" w:rsidR="00B83D80" w:rsidRPr="002D36CD" w:rsidRDefault="002D36CD" w:rsidP="002D36CD">
      <w:pPr>
        <w:pStyle w:val="Ttulo2"/>
      </w:pPr>
      <w:r w:rsidRPr="002D36CD">
        <w:lastRenderedPageBreak/>
        <w:t xml:space="preserve">Explicação </w:t>
      </w:r>
      <w:r>
        <w:t>–</w:t>
      </w:r>
      <w:r w:rsidRPr="002D36CD">
        <w:t xml:space="preserve"> </w:t>
      </w:r>
      <w:r w:rsidR="00B42C58" w:rsidRPr="002D36CD">
        <w:t>Parte</w:t>
      </w:r>
      <w:r>
        <w:t xml:space="preserve"> </w:t>
      </w:r>
      <w:r w:rsidR="00B42C58" w:rsidRPr="002D36CD">
        <w:t>2</w:t>
      </w:r>
    </w:p>
    <w:p w14:paraId="3F66AA0A" w14:textId="77777777" w:rsidR="002D36CD" w:rsidRDefault="002D36CD" w:rsidP="002D36CD">
      <w:pPr>
        <w:pStyle w:val="Forte1"/>
      </w:pPr>
    </w:p>
    <w:p w14:paraId="0EBDBC6D" w14:textId="77777777" w:rsidR="002D36CD" w:rsidRDefault="002D36CD" w:rsidP="002D36CD">
      <w:pPr>
        <w:pStyle w:val="Forte1"/>
        <w:rPr>
          <w:rFonts w:ascii="Times New Roman" w:hAnsi="Times New Roman" w:cs="Times New Roman"/>
          <w:b w:val="0"/>
          <w:bCs w:val="0"/>
        </w:rPr>
      </w:pPr>
      <w:r w:rsidRPr="002D36CD">
        <w:rPr>
          <w:rFonts w:ascii="Times New Roman" w:hAnsi="Times New Roman" w:cs="Times New Roman"/>
          <w:b w:val="0"/>
          <w:bCs w:val="0"/>
        </w:rPr>
        <w:t>Nesta etapa, o sistema verifica se a ferramenta selecionada está autorizada e se o usuário possui a permissão necessária. Caso alguma dessas verificações falhe, a ação é negada e registrada no Log de Auditoria.</w:t>
      </w:r>
    </w:p>
    <w:p w14:paraId="76793697" w14:textId="77777777" w:rsidR="002D36CD" w:rsidRPr="002D36CD" w:rsidRDefault="002D36CD" w:rsidP="002D36CD">
      <w:pPr>
        <w:pStyle w:val="Forte1"/>
        <w:rPr>
          <w:rFonts w:ascii="Times New Roman" w:hAnsi="Times New Roman" w:cs="Times New Roman"/>
          <w:b w:val="0"/>
          <w:bCs w:val="0"/>
        </w:rPr>
      </w:pPr>
    </w:p>
    <w:p w14:paraId="1FF25FF1" w14:textId="77777777" w:rsidR="002D36CD" w:rsidRDefault="002D36CD" w:rsidP="002D36CD">
      <w:pPr>
        <w:pStyle w:val="Forte1"/>
        <w:rPr>
          <w:rFonts w:ascii="Times New Roman" w:hAnsi="Times New Roman" w:cs="Times New Roman"/>
          <w:b w:val="0"/>
          <w:bCs w:val="0"/>
        </w:rPr>
      </w:pPr>
      <w:r w:rsidRPr="002D36CD">
        <w:rPr>
          <w:rFonts w:ascii="Times New Roman" w:hAnsi="Times New Roman" w:cs="Times New Roman"/>
          <w:b w:val="0"/>
          <w:bCs w:val="0"/>
        </w:rPr>
        <w:t>Quando a operação é permitida, o sistema identifica se é uma consulta ou uma operação de escrita. Consultas são executadas diretamente e retornam os dados ao usuário. Já as operações de escrita geram um card de confirmação, apresentando um resumo da ação antes de qualquer alteração.</w:t>
      </w:r>
    </w:p>
    <w:p w14:paraId="0B85C47F" w14:textId="77777777" w:rsidR="002D36CD" w:rsidRPr="002D36CD" w:rsidRDefault="002D36CD" w:rsidP="002D36CD">
      <w:pPr>
        <w:pStyle w:val="Forte1"/>
        <w:rPr>
          <w:rFonts w:ascii="Times New Roman" w:hAnsi="Times New Roman" w:cs="Times New Roman"/>
          <w:b w:val="0"/>
          <w:bCs w:val="0"/>
        </w:rPr>
      </w:pPr>
    </w:p>
    <w:p w14:paraId="305758D3" w14:textId="77777777" w:rsidR="002D36CD" w:rsidRPr="002D36CD" w:rsidRDefault="002D36CD" w:rsidP="002D36CD">
      <w:pPr>
        <w:pStyle w:val="Forte1"/>
        <w:rPr>
          <w:rFonts w:ascii="Times New Roman" w:hAnsi="Times New Roman" w:cs="Times New Roman"/>
          <w:b w:val="0"/>
          <w:bCs w:val="0"/>
        </w:rPr>
      </w:pPr>
      <w:r w:rsidRPr="002D36CD">
        <w:rPr>
          <w:rFonts w:ascii="Times New Roman" w:hAnsi="Times New Roman" w:cs="Times New Roman"/>
          <w:b w:val="0"/>
          <w:bCs w:val="0"/>
        </w:rPr>
        <w:t>Se o usuário cancelar, a operação é encerrada e registrada. Caso confirme, a operação é autorizada e encaminhada para execução, garantindo que alterações nos dados ocorram somente após a aprovação do usuário.</w:t>
      </w:r>
    </w:p>
    <w:p w14:paraId="017DC008" w14:textId="6720C520" w:rsidR="002D36CD" w:rsidRDefault="002D36CD" w:rsidP="002D36CD">
      <w:pPr>
        <w:pStyle w:val="Forte1"/>
      </w:pPr>
      <w:r w:rsidRPr="00B83D80">
        <w:rPr>
          <w:rFonts w:ascii="Times New Roman" w:hAnsi="Times New Roman" w:cs="Times New Roman"/>
        </w:rPr>
        <w:drawing>
          <wp:inline distT="0" distB="0" distL="0" distR="0" wp14:anchorId="6F375A6D" wp14:editId="313D7835">
            <wp:extent cx="5031740" cy="6727521"/>
            <wp:effectExtent l="190500" t="190500" r="187960" b="187960"/>
            <wp:docPr id="1193696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6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2056" cy="67413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A9B98F" w14:textId="2E28E74A" w:rsidR="002D36CD" w:rsidRDefault="00B83D80" w:rsidP="002D36CD">
      <w:pPr>
        <w:pStyle w:val="Ttulo2"/>
      </w:pPr>
      <w:r>
        <w:rPr>
          <w:rFonts w:ascii="Times New Roman" w:hAnsi="Times New Roman" w:cs="Times New Roman"/>
        </w:rPr>
        <w:br w:type="page"/>
      </w:r>
      <w:bookmarkStart w:id="26" w:name="_Toc239075114"/>
      <w:r w:rsidR="002D36CD" w:rsidRPr="002D36CD">
        <w:lastRenderedPageBreak/>
        <w:t xml:space="preserve">Explicação </w:t>
      </w:r>
      <w:r w:rsidR="002D36CD">
        <w:t>–</w:t>
      </w:r>
      <w:r w:rsidR="002D36CD" w:rsidRPr="002D36CD">
        <w:t xml:space="preserve"> Parte</w:t>
      </w:r>
      <w:r w:rsidR="002D36CD">
        <w:t xml:space="preserve"> </w:t>
      </w:r>
      <w:r w:rsidR="002D36CD">
        <w:t>3</w:t>
      </w:r>
    </w:p>
    <w:p w14:paraId="5ACE0A9B" w14:textId="77777777" w:rsidR="00BE293E" w:rsidRDefault="00BE293E" w:rsidP="00BE293E">
      <w:pPr>
        <w:pStyle w:val="Forte1"/>
      </w:pPr>
    </w:p>
    <w:p w14:paraId="5DD82F23" w14:textId="77777777" w:rsidR="00BE293E" w:rsidRDefault="00BE293E" w:rsidP="00BE293E">
      <w:pPr>
        <w:pStyle w:val="Forte1"/>
        <w:rPr>
          <w:rFonts w:ascii="Times New Roman" w:hAnsi="Times New Roman" w:cs="Times New Roman"/>
          <w:b w:val="0"/>
          <w:bCs w:val="0"/>
        </w:rPr>
      </w:pPr>
      <w:r w:rsidRPr="00BE293E">
        <w:rPr>
          <w:rFonts w:ascii="Times New Roman" w:hAnsi="Times New Roman" w:cs="Times New Roman"/>
          <w:b w:val="0"/>
          <w:bCs w:val="0"/>
        </w:rPr>
        <w:t>Nesta etapa ocorre o processamento da operação autorizada. O sistema identifica se a solicitação corresponde a um cadastro/atualização ou a uma ação de escrita.</w:t>
      </w:r>
    </w:p>
    <w:p w14:paraId="325C4673" w14:textId="77777777" w:rsidR="00BE293E" w:rsidRPr="00BE293E" w:rsidRDefault="00BE293E" w:rsidP="00BE293E">
      <w:pPr>
        <w:pStyle w:val="Forte1"/>
        <w:rPr>
          <w:rFonts w:ascii="Times New Roman" w:hAnsi="Times New Roman" w:cs="Times New Roman"/>
          <w:b w:val="0"/>
          <w:bCs w:val="0"/>
        </w:rPr>
      </w:pPr>
    </w:p>
    <w:p w14:paraId="499539F1" w14:textId="77777777" w:rsidR="00BE293E" w:rsidRDefault="00BE293E" w:rsidP="00BE293E">
      <w:pPr>
        <w:pStyle w:val="Forte1"/>
        <w:rPr>
          <w:rFonts w:ascii="Times New Roman" w:hAnsi="Times New Roman" w:cs="Times New Roman"/>
          <w:b w:val="0"/>
          <w:bCs w:val="0"/>
        </w:rPr>
      </w:pPr>
      <w:r w:rsidRPr="00BE293E">
        <w:rPr>
          <w:rFonts w:ascii="Times New Roman" w:hAnsi="Times New Roman" w:cs="Times New Roman"/>
          <w:b w:val="0"/>
          <w:bCs w:val="0"/>
        </w:rPr>
        <w:t>No caso de cadastro ou atualização, é apresentado um formulário pré-preenchido com os dados identificados a partir da solicitação do usuário. O sistema verifica se existem campos obrigatórios faltantes e, caso necessário, solicita que o usuário os complete.</w:t>
      </w:r>
    </w:p>
    <w:p w14:paraId="4E5FCC71" w14:textId="77777777" w:rsidR="00BE293E" w:rsidRPr="00BE293E" w:rsidRDefault="00BE293E" w:rsidP="00BE293E">
      <w:pPr>
        <w:pStyle w:val="Forte1"/>
        <w:rPr>
          <w:rFonts w:ascii="Times New Roman" w:hAnsi="Times New Roman" w:cs="Times New Roman"/>
          <w:b w:val="0"/>
          <w:bCs w:val="0"/>
        </w:rPr>
      </w:pPr>
    </w:p>
    <w:p w14:paraId="7CDC9F6C" w14:textId="77777777" w:rsidR="00BE293E" w:rsidRPr="00BE293E" w:rsidRDefault="00BE293E" w:rsidP="00BE293E">
      <w:pPr>
        <w:pStyle w:val="Forte1"/>
        <w:rPr>
          <w:rFonts w:ascii="Times New Roman" w:hAnsi="Times New Roman" w:cs="Times New Roman"/>
          <w:b w:val="0"/>
          <w:bCs w:val="0"/>
        </w:rPr>
      </w:pPr>
      <w:r w:rsidRPr="00BE293E">
        <w:rPr>
          <w:rFonts w:ascii="Times New Roman" w:hAnsi="Times New Roman" w:cs="Times New Roman"/>
          <w:b w:val="0"/>
          <w:bCs w:val="0"/>
        </w:rPr>
        <w:t>Após essa etapa, a operação é encaminhada para o Form Request do Laravel, onde será realizada a validação dos dados antes da execução. Dessa forma, a IA auxilia no preenchimento e interpretação da solicitação, enquanto a validação permanece sob responsabilidade do backend</w:t>
      </w:r>
    </w:p>
    <w:p w14:paraId="46861D61" w14:textId="77777777" w:rsidR="002D36CD" w:rsidRDefault="002D36CD" w:rsidP="002D36CD">
      <w:pPr>
        <w:pStyle w:val="Forte1"/>
      </w:pPr>
    </w:p>
    <w:p w14:paraId="0D4FA194" w14:textId="77777777" w:rsidR="002D36CD" w:rsidRPr="002D36CD" w:rsidRDefault="002D36CD" w:rsidP="002D36CD">
      <w:pPr>
        <w:pStyle w:val="Forte1"/>
      </w:pPr>
    </w:p>
    <w:p w14:paraId="1D944FBD" w14:textId="40BFA357" w:rsidR="00386044" w:rsidRDefault="00B83D80" w:rsidP="00B83D80">
      <w:pPr>
        <w:pStyle w:val="Forte1"/>
      </w:pPr>
      <w:r w:rsidRPr="00B83D80">
        <w:drawing>
          <wp:inline distT="0" distB="0" distL="0" distR="0" wp14:anchorId="73E80025" wp14:editId="08F4CEA7">
            <wp:extent cx="2257740" cy="5715798"/>
            <wp:effectExtent l="0" t="0" r="9525" b="0"/>
            <wp:docPr id="1246739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39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7157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2EA1893" w14:textId="77777777" w:rsidR="00386044" w:rsidRDefault="00386044">
      <w:pPr>
        <w:rPr>
          <w:b/>
          <w:bCs/>
        </w:rPr>
      </w:pPr>
      <w:r>
        <w:br w:type="page"/>
      </w:r>
    </w:p>
    <w:p w14:paraId="79A72630" w14:textId="032F71A4" w:rsidR="00BE293E" w:rsidRDefault="00BE293E" w:rsidP="00BE293E">
      <w:pPr>
        <w:pStyle w:val="Ttulo2"/>
      </w:pPr>
      <w:r w:rsidRPr="002D36CD">
        <w:lastRenderedPageBreak/>
        <w:t xml:space="preserve">Explicação </w:t>
      </w:r>
      <w:r>
        <w:t>–</w:t>
      </w:r>
      <w:r w:rsidRPr="002D36CD">
        <w:t xml:space="preserve"> Parte</w:t>
      </w:r>
      <w:r>
        <w:t xml:space="preserve"> </w:t>
      </w:r>
      <w:r>
        <w:t>4</w:t>
      </w:r>
    </w:p>
    <w:p w14:paraId="5BC86BC8" w14:textId="77777777" w:rsidR="00BE293E" w:rsidRPr="00BE293E" w:rsidRDefault="00BE293E" w:rsidP="00BE293E">
      <w:pPr>
        <w:pStyle w:val="Forte1"/>
        <w:rPr>
          <w:rFonts w:ascii="Times New Roman" w:hAnsi="Times New Roman" w:cs="Times New Roman"/>
          <w:b w:val="0"/>
          <w:bCs w:val="0"/>
        </w:rPr>
      </w:pPr>
    </w:p>
    <w:p w14:paraId="370A1504" w14:textId="77777777" w:rsidR="00BE293E" w:rsidRPr="00BE293E" w:rsidRDefault="00BE293E" w:rsidP="00BE293E">
      <w:pPr>
        <w:pStyle w:val="Forte1"/>
        <w:rPr>
          <w:rFonts w:ascii="Times New Roman" w:hAnsi="Times New Roman" w:cs="Times New Roman"/>
          <w:b w:val="0"/>
          <w:bCs w:val="0"/>
        </w:rPr>
      </w:pPr>
      <w:r w:rsidRPr="00BE293E">
        <w:rPr>
          <w:rFonts w:ascii="Times New Roman" w:hAnsi="Times New Roman" w:cs="Times New Roman"/>
          <w:b w:val="0"/>
          <w:bCs w:val="0"/>
        </w:rPr>
        <w:t>Nesta etapa, os dados passam pelo Form Request, onde são validados pelo backend. Caso sejam inválidos, o sistema apresenta o erro e registra o resultado no Log de Auditoria.</w:t>
      </w:r>
    </w:p>
    <w:p w14:paraId="2F763AF2" w14:textId="77777777" w:rsidR="00BE293E" w:rsidRPr="00BE293E" w:rsidRDefault="00BE293E" w:rsidP="00BE293E">
      <w:pPr>
        <w:pStyle w:val="Forte1"/>
        <w:rPr>
          <w:rFonts w:ascii="Times New Roman" w:hAnsi="Times New Roman" w:cs="Times New Roman"/>
          <w:b w:val="0"/>
          <w:bCs w:val="0"/>
        </w:rPr>
      </w:pPr>
    </w:p>
    <w:p w14:paraId="18D5194F" w14:textId="77777777" w:rsidR="00BE293E" w:rsidRPr="00BE293E" w:rsidRDefault="00BE293E" w:rsidP="00BE293E">
      <w:pPr>
        <w:pStyle w:val="Forte1"/>
        <w:rPr>
          <w:rFonts w:ascii="Times New Roman" w:hAnsi="Times New Roman" w:cs="Times New Roman"/>
          <w:b w:val="0"/>
          <w:bCs w:val="0"/>
        </w:rPr>
      </w:pPr>
      <w:r w:rsidRPr="00BE293E">
        <w:rPr>
          <w:rFonts w:ascii="Times New Roman" w:hAnsi="Times New Roman" w:cs="Times New Roman"/>
          <w:b w:val="0"/>
          <w:bCs w:val="0"/>
        </w:rPr>
        <w:t>Se os dados forem válidos, a operação segue para o Laravel Service e Eloquent, que realizam a comunicação com o MySQL. Após a conclusão, o resultado é apresentado ao usuário de acordo com o tipo de operação: tabela, formulário ou confirmação de sucesso.</w:t>
      </w:r>
    </w:p>
    <w:p w14:paraId="177681FD" w14:textId="77777777" w:rsidR="00BE293E" w:rsidRPr="00BE293E" w:rsidRDefault="00BE293E" w:rsidP="00BE293E">
      <w:pPr>
        <w:pStyle w:val="Forte1"/>
        <w:rPr>
          <w:rFonts w:ascii="Times New Roman" w:hAnsi="Times New Roman" w:cs="Times New Roman"/>
          <w:b w:val="0"/>
          <w:bCs w:val="0"/>
        </w:rPr>
      </w:pPr>
    </w:p>
    <w:p w14:paraId="4238B0C9" w14:textId="77777777" w:rsidR="00BE293E" w:rsidRPr="00BE293E" w:rsidRDefault="00BE293E" w:rsidP="00BE293E">
      <w:pPr>
        <w:pStyle w:val="Forte1"/>
        <w:rPr>
          <w:rFonts w:ascii="Times New Roman" w:hAnsi="Times New Roman" w:cs="Times New Roman"/>
          <w:b w:val="0"/>
          <w:bCs w:val="0"/>
        </w:rPr>
      </w:pPr>
      <w:r w:rsidRPr="00BE293E">
        <w:rPr>
          <w:rFonts w:ascii="Times New Roman" w:hAnsi="Times New Roman" w:cs="Times New Roman"/>
          <w:b w:val="0"/>
          <w:bCs w:val="0"/>
        </w:rPr>
        <w:t xml:space="preserve">Por fim, todas as operações são registradas no Log de Auditoria, contendo informações como usuário, ferramenta utilizada, parâmetros, horário e desfecho, garantindo o rastreamento das ações realizadas pelo sistema. </w:t>
      </w:r>
    </w:p>
    <w:p w14:paraId="04D1BFFB" w14:textId="458CE1C3" w:rsidR="00BE293E" w:rsidRDefault="00BE293E" w:rsidP="00BE293E">
      <w:pPr>
        <w:pStyle w:val="Forte1"/>
      </w:pPr>
    </w:p>
    <w:p w14:paraId="03BA978F" w14:textId="77777777" w:rsidR="00BE293E" w:rsidRDefault="00BE293E" w:rsidP="00BE293E">
      <w:pPr>
        <w:pStyle w:val="Forte1"/>
      </w:pPr>
    </w:p>
    <w:p w14:paraId="0F5165EB" w14:textId="28665A69" w:rsidR="00B83D80" w:rsidRDefault="00386044" w:rsidP="00B83D80">
      <w:pPr>
        <w:pStyle w:val="Forte1"/>
      </w:pPr>
      <w:r w:rsidRPr="00386044">
        <w:drawing>
          <wp:inline distT="0" distB="0" distL="0" distR="0" wp14:anchorId="060800DE" wp14:editId="7DB0DC16">
            <wp:extent cx="3675380" cy="6713461"/>
            <wp:effectExtent l="0" t="0" r="1270" b="0"/>
            <wp:docPr id="19525175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17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0026" cy="67219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366483E3" w14:textId="04F83D98" w:rsidR="006E20DA" w:rsidRPr="00BE293E" w:rsidRDefault="00B83D80" w:rsidP="00BE293E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8F0039">
        <w:rPr>
          <w:rFonts w:ascii="Times New Roman" w:hAnsi="Times New Roman" w:cs="Times New Roman"/>
        </w:rPr>
        <w:lastRenderedPageBreak/>
        <w:t>10</w:t>
      </w:r>
      <w:r w:rsidR="00000000" w:rsidRPr="008F0039">
        <w:rPr>
          <w:rFonts w:ascii="Times New Roman" w:hAnsi="Times New Roman" w:cs="Times New Roman"/>
        </w:rPr>
        <w:t>. Limitações reconhecidas</w:t>
      </w:r>
      <w:bookmarkEnd w:id="26"/>
    </w:p>
    <w:p w14:paraId="4924741B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A declaração explícita de limitações é parte da maturidade metodológica do projeto e antecipa questionamentos previsíveis da banca avaliadora.</w:t>
      </w:r>
    </w:p>
    <w:p w14:paraId="16870514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Dependência de conectividade e de serviço de terceiros: o sistema depende de disponibilidade da API do provedor de LLM escolhido. Essa dependência é parcialmente mitigada (ver seção 3.3): falhas pontuais da API de IA são absorvidas por uma fila local de comandos com reprocessamento automático e nova confirmação ao reconectar, enquanto o CRUD tradicional permanece disponível. A ausência total de conectividade do dispositivo, porém, não é coberta pelo protótipo — resolvê-la exigiria arquitetura PWA ou aplicativo nativo com banco local, registrado como trabalho futuro.</w:t>
      </w:r>
    </w:p>
    <w:p w14:paraId="54DA9EDD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Latência: usuários experientes em um domínio podem perceber o comando em linguagem natural como mais lento que o clique direto em uma ação já memorizada.</w:t>
      </w:r>
    </w:p>
    <w:p w14:paraId="620D72E1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Interpretação ambígua: comandos mal formulados podem gerar interpretação incorreta pela IA — mitigado pela exigência de confirmação em toda escrita, mas não eliminado em leituras.</w:t>
      </w:r>
    </w:p>
    <w:p w14:paraId="38FCFF79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Custo variável por uso: cada interação com a API tem custo monetário associado, ainda que baixo, o que difere do custo fixo de um CRUD tradicional.</w:t>
      </w:r>
    </w:p>
    <w:p w14:paraId="5CE1A7B6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Fadiga de confirmação: conforme detalhado na predição 6.6, o risco de confirmação automática sem revisão tende a crescer com o tempo de uso e exige desenho de fricção proporcional ao risco da ação.</w:t>
      </w:r>
    </w:p>
    <w:p w14:paraId="57EBDA64" w14:textId="77777777" w:rsidR="006E20DA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Escopo de protótipo acadêmico: o sistema não implementa </w:t>
      </w:r>
      <w:proofErr w:type="spellStart"/>
      <w:r w:rsidRPr="008F0039">
        <w:rPr>
          <w:rFonts w:ascii="Times New Roman" w:hAnsi="Times New Roman" w:cs="Times New Roman"/>
        </w:rPr>
        <w:t>hardening</w:t>
      </w:r>
      <w:proofErr w:type="spellEnd"/>
      <w:r w:rsidRPr="008F0039">
        <w:rPr>
          <w:rFonts w:ascii="Times New Roman" w:hAnsi="Times New Roman" w:cs="Times New Roman"/>
        </w:rPr>
        <w:t xml:space="preserve"> de produção (ex.: rate </w:t>
      </w:r>
      <w:proofErr w:type="spellStart"/>
      <w:r w:rsidRPr="008F0039">
        <w:rPr>
          <w:rFonts w:ascii="Times New Roman" w:hAnsi="Times New Roman" w:cs="Times New Roman"/>
        </w:rPr>
        <w:t>limiting</w:t>
      </w:r>
      <w:proofErr w:type="spellEnd"/>
      <w:r w:rsidRPr="008F0039">
        <w:rPr>
          <w:rFonts w:ascii="Times New Roman" w:hAnsi="Times New Roman" w:cs="Times New Roman"/>
        </w:rPr>
        <w:t xml:space="preserve"> avançado, </w:t>
      </w:r>
      <w:proofErr w:type="spellStart"/>
      <w:r w:rsidRPr="008F0039">
        <w:rPr>
          <w:rFonts w:ascii="Times New Roman" w:hAnsi="Times New Roman" w:cs="Times New Roman"/>
        </w:rPr>
        <w:t>observabilidade</w:t>
      </w:r>
      <w:proofErr w:type="spellEnd"/>
      <w:r w:rsidRPr="008F0039">
        <w:rPr>
          <w:rFonts w:ascii="Times New Roman" w:hAnsi="Times New Roman" w:cs="Times New Roman"/>
        </w:rPr>
        <w:t xml:space="preserve"> completa, filas assíncronas), por não ser esse o objetivo do TCC.</w:t>
      </w:r>
    </w:p>
    <w:p w14:paraId="1AA5D5EF" w14:textId="77777777" w:rsidR="00BE293E" w:rsidRPr="008F0039" w:rsidRDefault="00BE293E" w:rsidP="00BE293E">
      <w:pPr>
        <w:pStyle w:val="PargrafodaLista"/>
        <w:spacing w:after="100" w:line="280" w:lineRule="auto"/>
        <w:ind w:left="720"/>
        <w:rPr>
          <w:rFonts w:ascii="Times New Roman" w:hAnsi="Times New Roman" w:cs="Times New Roman"/>
        </w:rPr>
      </w:pPr>
    </w:p>
    <w:p w14:paraId="0E26100A" w14:textId="293489EF" w:rsidR="006E20DA" w:rsidRPr="008F0039" w:rsidRDefault="00000000">
      <w:pPr>
        <w:pStyle w:val="Ttulo1"/>
        <w:rPr>
          <w:rFonts w:ascii="Times New Roman" w:hAnsi="Times New Roman" w:cs="Times New Roman"/>
        </w:rPr>
      </w:pPr>
      <w:bookmarkStart w:id="27" w:name="_Toc239075115"/>
      <w:r w:rsidRPr="008F0039">
        <w:rPr>
          <w:rFonts w:ascii="Times New Roman" w:hAnsi="Times New Roman" w:cs="Times New Roman"/>
        </w:rPr>
        <w:t>1</w:t>
      </w:r>
      <w:r w:rsidR="008F0039">
        <w:rPr>
          <w:rFonts w:ascii="Times New Roman" w:hAnsi="Times New Roman" w:cs="Times New Roman"/>
        </w:rPr>
        <w:t>1</w:t>
      </w:r>
      <w:r w:rsidRPr="008F0039">
        <w:rPr>
          <w:rFonts w:ascii="Times New Roman" w:hAnsi="Times New Roman" w:cs="Times New Roman"/>
        </w:rPr>
        <w:t>. Próximos passos</w:t>
      </w:r>
      <w:bookmarkEnd w:id="27"/>
    </w:p>
    <w:p w14:paraId="6541FDB6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Definição, em reunião de equipe, do domínio de aplicação do protótipo (manutenção, confecção, escolar ou outro), a partir dos critérios: maturidade do código-base a ser reaproveitado, força dos exemplos de comando para demonstração, e clareza de justificativa da persona perante a banca.</w:t>
      </w:r>
    </w:p>
    <w:p w14:paraId="2FAF2428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Revisão do nome do projeto à luz do novo escopo, se a equipe considerar pertinente.</w:t>
      </w:r>
    </w:p>
    <w:p w14:paraId="6D0AE1BA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Detalhamento da modelagem de dados e do catálogo de ferramentas (tools) por domínio escolhido.</w:t>
      </w:r>
    </w:p>
    <w:p w14:paraId="55829C8C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 xml:space="preserve">Evolução do protótipo </w:t>
      </w:r>
      <w:proofErr w:type="spellStart"/>
      <w:r w:rsidRPr="008F0039">
        <w:rPr>
          <w:rFonts w:ascii="Times New Roman" w:hAnsi="Times New Roman" w:cs="Times New Roman"/>
        </w:rPr>
        <w:t>Figma</w:t>
      </w:r>
      <w:proofErr w:type="spellEnd"/>
      <w:r w:rsidRPr="008F0039">
        <w:rPr>
          <w:rFonts w:ascii="Times New Roman" w:hAnsi="Times New Roman" w:cs="Times New Roman"/>
        </w:rPr>
        <w:t xml:space="preserve"> para alta fidelidade, incorporando o feedback do orientador.</w:t>
      </w:r>
    </w:p>
    <w:p w14:paraId="0EBC89FE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Definição de cronograma de sprints para a fase de desenvolvimento, seguindo o padrão de planejamento já utilizado nos protótipos anteriores da equipe (GMP, Confecção TA).</w:t>
      </w:r>
    </w:p>
    <w:p w14:paraId="720694A9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Avaliação de uma camada offline-</w:t>
      </w:r>
      <w:proofErr w:type="spellStart"/>
      <w:r w:rsidRPr="008F0039">
        <w:rPr>
          <w:rFonts w:ascii="Times New Roman" w:hAnsi="Times New Roman" w:cs="Times New Roman"/>
        </w:rPr>
        <w:t>first</w:t>
      </w:r>
      <w:proofErr w:type="spellEnd"/>
      <w:r w:rsidRPr="008F0039">
        <w:rPr>
          <w:rFonts w:ascii="Times New Roman" w:hAnsi="Times New Roman" w:cs="Times New Roman"/>
        </w:rPr>
        <w:t xml:space="preserve"> plena (PWA com Service </w:t>
      </w:r>
      <w:proofErr w:type="spellStart"/>
      <w:r w:rsidRPr="008F0039">
        <w:rPr>
          <w:rFonts w:ascii="Times New Roman" w:hAnsi="Times New Roman" w:cs="Times New Roman"/>
        </w:rPr>
        <w:t>Worker</w:t>
      </w:r>
      <w:proofErr w:type="spellEnd"/>
      <w:r w:rsidRPr="008F0039">
        <w:rPr>
          <w:rFonts w:ascii="Times New Roman" w:hAnsi="Times New Roman" w:cs="Times New Roman"/>
        </w:rPr>
        <w:t xml:space="preserve"> e </w:t>
      </w:r>
      <w:proofErr w:type="spellStart"/>
      <w:r w:rsidRPr="008F0039">
        <w:rPr>
          <w:rFonts w:ascii="Times New Roman" w:hAnsi="Times New Roman" w:cs="Times New Roman"/>
        </w:rPr>
        <w:t>IndexedDB</w:t>
      </w:r>
      <w:proofErr w:type="spellEnd"/>
      <w:r w:rsidRPr="008F0039">
        <w:rPr>
          <w:rFonts w:ascii="Times New Roman" w:hAnsi="Times New Roman" w:cs="Times New Roman"/>
        </w:rPr>
        <w:t xml:space="preserve">, ou aplicativo nativo com banco local) para cobrir o cenário de ausência total de conectividade, tomando como referência a arquitetura já validada pela equipe no protótipo </w:t>
      </w:r>
      <w:proofErr w:type="spellStart"/>
      <w:r w:rsidRPr="008F0039">
        <w:rPr>
          <w:rFonts w:ascii="Times New Roman" w:hAnsi="Times New Roman" w:cs="Times New Roman"/>
        </w:rPr>
        <w:t>Flutter</w:t>
      </w:r>
      <w:proofErr w:type="spellEnd"/>
      <w:r w:rsidRPr="008F0039">
        <w:rPr>
          <w:rFonts w:ascii="Times New Roman" w:hAnsi="Times New Roman" w:cs="Times New Roman"/>
        </w:rPr>
        <w:t xml:space="preserve"> do SENAI GMP.</w:t>
      </w:r>
    </w:p>
    <w:p w14:paraId="01820ADD" w14:textId="77777777" w:rsidR="006E20DA" w:rsidRPr="008F0039" w:rsidRDefault="00000000">
      <w:pPr>
        <w:pStyle w:val="PargrafodaLista"/>
        <w:numPr>
          <w:ilvl w:val="0"/>
          <w:numId w:val="1"/>
        </w:numPr>
        <w:spacing w:after="100" w:line="28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Entrada de comandos por voz, dada a familiaridade do público-alvo com áudios de WhatsApp (predição 6.4).</w:t>
      </w:r>
    </w:p>
    <w:p w14:paraId="2FDD106E" w14:textId="77777777" w:rsidR="00BE293E" w:rsidRDefault="00BE293E">
      <w:pPr>
        <w:rPr>
          <w:rFonts w:ascii="Times New Roman" w:hAnsi="Times New Roman" w:cs="Times New Roman"/>
          <w:b/>
          <w:bCs/>
          <w:color w:val="26215C"/>
          <w:sz w:val="32"/>
          <w:szCs w:val="32"/>
          <w:lang w:val="en-US"/>
        </w:rPr>
      </w:pPr>
      <w:bookmarkStart w:id="28" w:name="_Toc239075116"/>
      <w:r>
        <w:rPr>
          <w:rFonts w:ascii="Times New Roman" w:hAnsi="Times New Roman" w:cs="Times New Roman"/>
          <w:lang w:val="en-US"/>
        </w:rPr>
        <w:br w:type="page"/>
      </w:r>
    </w:p>
    <w:p w14:paraId="74E77050" w14:textId="1E72A97E" w:rsidR="006E20DA" w:rsidRPr="008F0039" w:rsidRDefault="00000000">
      <w:pPr>
        <w:pStyle w:val="Ttulo1"/>
        <w:rPr>
          <w:rFonts w:ascii="Times New Roman" w:hAnsi="Times New Roman" w:cs="Times New Roman"/>
          <w:lang w:val="en-US"/>
        </w:rPr>
      </w:pPr>
      <w:r w:rsidRPr="008F0039">
        <w:rPr>
          <w:rFonts w:ascii="Times New Roman" w:hAnsi="Times New Roman" w:cs="Times New Roman"/>
          <w:lang w:val="en-US"/>
        </w:rPr>
        <w:lastRenderedPageBreak/>
        <w:t>Referências</w:t>
      </w:r>
      <w:bookmarkEnd w:id="28"/>
    </w:p>
    <w:p w14:paraId="6DCC9776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  <w:lang w:val="en-US"/>
        </w:rPr>
      </w:pPr>
      <w:r w:rsidRPr="008F0039">
        <w:rPr>
          <w:rFonts w:ascii="Times New Roman" w:hAnsi="Times New Roman" w:cs="Times New Roman"/>
          <w:lang w:val="en-US"/>
        </w:rPr>
        <w:t>NIELSEN, J. AI as a Paradigm Shift in User Interfaces. Nielsen Norman Group, 2023.</w:t>
      </w:r>
    </w:p>
    <w:p w14:paraId="5CDB6C8C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  <w:lang w:val="en-US"/>
        </w:rPr>
      </w:pPr>
      <w:r w:rsidRPr="008F0039">
        <w:rPr>
          <w:rFonts w:ascii="Times New Roman" w:hAnsi="Times New Roman" w:cs="Times New Roman"/>
          <w:lang w:val="en-US"/>
        </w:rPr>
        <w:t>YAO, S. et al. ReAct: Synergizing Reasoning and Acting in Language Models. arXiv:2210.03629, 2022.</w:t>
      </w:r>
    </w:p>
    <w:p w14:paraId="68E0193D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SEBRAE. Mapa de Empresas — 2º quadrimestre de 2025. Ministério do Empreendedorismo, da Microempresa e da Empresa de Pequeno Porte, 2025.</w:t>
      </w:r>
    </w:p>
    <w:p w14:paraId="783525F4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</w:rPr>
      </w:pPr>
      <w:r w:rsidRPr="008F0039">
        <w:rPr>
          <w:rFonts w:ascii="Times New Roman" w:hAnsi="Times New Roman" w:cs="Times New Roman"/>
        </w:rPr>
        <w:t>SEBRAE. Pesquisa TIC 2025 — Transformação Digital nos Pequenos Negócios. Sebrae/PR, 2025.</w:t>
      </w:r>
    </w:p>
    <w:p w14:paraId="29FDF7F4" w14:textId="77777777" w:rsidR="006E20DA" w:rsidRPr="008F0039" w:rsidRDefault="00000000">
      <w:pPr>
        <w:spacing w:after="200" w:line="300" w:lineRule="auto"/>
        <w:rPr>
          <w:rFonts w:ascii="Times New Roman" w:hAnsi="Times New Roman" w:cs="Times New Roman"/>
          <w:lang w:val="en-US"/>
        </w:rPr>
      </w:pPr>
      <w:r w:rsidRPr="008F0039">
        <w:rPr>
          <w:rFonts w:ascii="Times New Roman" w:hAnsi="Times New Roman" w:cs="Times New Roman"/>
        </w:rPr>
        <w:t xml:space="preserve">SEBRAE. Pesquisa de Maturidade Digital dos Pequenos Negócios no Brasil. </w:t>
      </w:r>
      <w:proofErr w:type="spellStart"/>
      <w:r w:rsidRPr="008F0039">
        <w:rPr>
          <w:rFonts w:ascii="Times New Roman" w:hAnsi="Times New Roman" w:cs="Times New Roman"/>
          <w:lang w:val="en-US"/>
        </w:rPr>
        <w:t>Sebrae</w:t>
      </w:r>
      <w:proofErr w:type="spellEnd"/>
      <w:r w:rsidRPr="008F0039">
        <w:rPr>
          <w:rFonts w:ascii="Times New Roman" w:hAnsi="Times New Roman" w:cs="Times New Roman"/>
          <w:lang w:val="en-US"/>
        </w:rPr>
        <w:t>/PR, 2024–2025.</w:t>
      </w:r>
    </w:p>
    <w:p w14:paraId="0F1E1E4A" w14:textId="77777777" w:rsidR="006E20DA" w:rsidRPr="0074250E" w:rsidRDefault="00000000">
      <w:pPr>
        <w:spacing w:after="200" w:line="300" w:lineRule="auto"/>
        <w:rPr>
          <w:lang w:val="en-US"/>
        </w:rPr>
      </w:pPr>
      <w:r w:rsidRPr="008F0039">
        <w:rPr>
          <w:rFonts w:ascii="Times New Roman" w:hAnsi="Times New Roman" w:cs="Times New Roman"/>
          <w:lang w:val="en-US"/>
        </w:rPr>
        <w:t>MICROSOFT. An</w:t>
      </w:r>
      <w:r w:rsidRPr="0074250E">
        <w:rPr>
          <w:lang w:val="en-US"/>
        </w:rPr>
        <w:t>omaly Detector — What's New / FAQ. Microsoft Learn, Azure AI Services, 2025–2026.</w:t>
      </w:r>
    </w:p>
    <w:sectPr w:rsidR="006E20DA" w:rsidRPr="0074250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60F7"/>
    <w:multiLevelType w:val="multilevel"/>
    <w:tmpl w:val="551E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04AC5"/>
    <w:multiLevelType w:val="multilevel"/>
    <w:tmpl w:val="7A7E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776F4A"/>
    <w:multiLevelType w:val="hybridMultilevel"/>
    <w:tmpl w:val="3E1AD2B6"/>
    <w:lvl w:ilvl="0" w:tplc="23C837CE">
      <w:start w:val="1"/>
      <w:numFmt w:val="bullet"/>
      <w:lvlText w:val="●"/>
      <w:lvlJc w:val="left"/>
      <w:pPr>
        <w:ind w:left="720" w:hanging="360"/>
      </w:pPr>
    </w:lvl>
    <w:lvl w:ilvl="1" w:tplc="66068BF8">
      <w:start w:val="1"/>
      <w:numFmt w:val="bullet"/>
      <w:lvlText w:val="○"/>
      <w:lvlJc w:val="left"/>
      <w:pPr>
        <w:ind w:left="1440" w:hanging="360"/>
      </w:pPr>
    </w:lvl>
    <w:lvl w:ilvl="2" w:tplc="42C4A498">
      <w:start w:val="1"/>
      <w:numFmt w:val="bullet"/>
      <w:lvlText w:val="■"/>
      <w:lvlJc w:val="left"/>
      <w:pPr>
        <w:ind w:left="2160" w:hanging="360"/>
      </w:pPr>
    </w:lvl>
    <w:lvl w:ilvl="3" w:tplc="C6E860D6">
      <w:start w:val="1"/>
      <w:numFmt w:val="bullet"/>
      <w:lvlText w:val="●"/>
      <w:lvlJc w:val="left"/>
      <w:pPr>
        <w:ind w:left="2880" w:hanging="360"/>
      </w:pPr>
    </w:lvl>
    <w:lvl w:ilvl="4" w:tplc="488C9110">
      <w:start w:val="1"/>
      <w:numFmt w:val="bullet"/>
      <w:lvlText w:val="○"/>
      <w:lvlJc w:val="left"/>
      <w:pPr>
        <w:ind w:left="3600" w:hanging="360"/>
      </w:pPr>
    </w:lvl>
    <w:lvl w:ilvl="5" w:tplc="A5B0DF86">
      <w:start w:val="1"/>
      <w:numFmt w:val="bullet"/>
      <w:lvlText w:val="■"/>
      <w:lvlJc w:val="left"/>
      <w:pPr>
        <w:ind w:left="4320" w:hanging="360"/>
      </w:pPr>
    </w:lvl>
    <w:lvl w:ilvl="6" w:tplc="9E8E2A7C">
      <w:start w:val="1"/>
      <w:numFmt w:val="bullet"/>
      <w:lvlText w:val="●"/>
      <w:lvlJc w:val="left"/>
      <w:pPr>
        <w:ind w:left="5040" w:hanging="360"/>
      </w:pPr>
    </w:lvl>
    <w:lvl w:ilvl="7" w:tplc="2670F8D8">
      <w:start w:val="1"/>
      <w:numFmt w:val="bullet"/>
      <w:lvlText w:val="●"/>
      <w:lvlJc w:val="left"/>
      <w:pPr>
        <w:ind w:left="5760" w:hanging="360"/>
      </w:pPr>
    </w:lvl>
    <w:lvl w:ilvl="8" w:tplc="2EFAB2D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EB6A4B"/>
    <w:multiLevelType w:val="hybridMultilevel"/>
    <w:tmpl w:val="261C76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996827">
    <w:abstractNumId w:val="2"/>
    <w:lvlOverride w:ilvl="0">
      <w:startOverride w:val="1"/>
    </w:lvlOverride>
  </w:num>
  <w:num w:numId="2" w16cid:durableId="770052140">
    <w:abstractNumId w:val="0"/>
  </w:num>
  <w:num w:numId="3" w16cid:durableId="1757903279">
    <w:abstractNumId w:val="3"/>
  </w:num>
  <w:num w:numId="4" w16cid:durableId="1850756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0DA"/>
    <w:rsid w:val="001B1CF9"/>
    <w:rsid w:val="002D36CD"/>
    <w:rsid w:val="00386044"/>
    <w:rsid w:val="00616E2D"/>
    <w:rsid w:val="006E20DA"/>
    <w:rsid w:val="0074250E"/>
    <w:rsid w:val="007773E3"/>
    <w:rsid w:val="008F0039"/>
    <w:rsid w:val="00B42C58"/>
    <w:rsid w:val="00B83D80"/>
    <w:rsid w:val="00BE293E"/>
    <w:rsid w:val="00F1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1F438"/>
  <w15:docId w15:val="{C21DE5D4-04A4-49F9-9A1E-F2FF2E97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26215C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0F6E56"/>
      <w:sz w:val="26"/>
      <w:szCs w:val="26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2C2C2A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8F003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8F003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F003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8F0039"/>
    <w:pPr>
      <w:spacing w:after="100"/>
      <w:ind w:left="440"/>
    </w:pPr>
  </w:style>
  <w:style w:type="character" w:styleId="HiperlinkVisitado">
    <w:name w:val="FollowedHyperlink"/>
    <w:basedOn w:val="Fontepargpadro"/>
    <w:uiPriority w:val="99"/>
    <w:semiHidden/>
    <w:unhideWhenUsed/>
    <w:rsid w:val="008F003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figma.com/design/CGcy71aZf172pjjyEqimTQ/Sentinel?node-id=2-7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78EAF-DB06-41F3-89D8-CFDD0E3A0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18</Pages>
  <Words>4729</Words>
  <Characters>25539</Characters>
  <Application>Microsoft Office Word</Application>
  <DocSecurity>0</DocSecurity>
  <Lines>212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JEFFERSON BRUNO CORREA MIGUEL</cp:lastModifiedBy>
  <cp:revision>2</cp:revision>
  <dcterms:created xsi:type="dcterms:W3CDTF">2026-08-31T19:00:00Z</dcterms:created>
  <dcterms:modified xsi:type="dcterms:W3CDTF">2026-08-31T19:00:00Z</dcterms:modified>
</cp:coreProperties>
</file>