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D99E" w14:textId="77777777" w:rsidR="006E20DA" w:rsidRDefault="006E20DA">
      <w:pPr>
        <w:spacing w:before="2000"/>
      </w:pPr>
    </w:p>
    <w:p w14:paraId="7CE37C9A" w14:textId="77777777" w:rsidR="006E20DA" w:rsidRDefault="00000000">
      <w:pPr>
        <w:jc w:val="center"/>
      </w:pPr>
      <w:r>
        <w:rPr>
          <w:color w:val="444441"/>
          <w:sz w:val="24"/>
          <w:szCs w:val="24"/>
        </w:rPr>
        <w:t>SENAI Limeira/SP</w:t>
      </w:r>
    </w:p>
    <w:p w14:paraId="3E302A0A" w14:textId="77777777" w:rsidR="006E20DA" w:rsidRDefault="00000000">
      <w:pPr>
        <w:spacing w:before="100"/>
        <w:jc w:val="center"/>
      </w:pPr>
      <w:r>
        <w:rPr>
          <w:color w:val="444441"/>
          <w:sz w:val="24"/>
          <w:szCs w:val="24"/>
        </w:rPr>
        <w:t>Curso Técnico em Desenvolvimento de Sistemas — 3º DEV-A</w:t>
      </w:r>
    </w:p>
    <w:p w14:paraId="58C9927B" w14:textId="77777777" w:rsidR="006E20DA" w:rsidRDefault="006E20DA">
      <w:pPr>
        <w:spacing w:before="1600"/>
      </w:pPr>
    </w:p>
    <w:p w14:paraId="48055226" w14:textId="77777777" w:rsidR="006E20DA" w:rsidRDefault="00000000">
      <w:pPr>
        <w:jc w:val="center"/>
      </w:pPr>
      <w:r>
        <w:rPr>
          <w:b/>
          <w:bCs/>
          <w:color w:val="26215C"/>
          <w:sz w:val="56"/>
          <w:szCs w:val="56"/>
        </w:rPr>
        <w:t>SENTINEL</w:t>
      </w:r>
    </w:p>
    <w:p w14:paraId="0F2D5100" w14:textId="77777777" w:rsidR="006E20DA" w:rsidRDefault="00000000">
      <w:pPr>
        <w:spacing w:before="200"/>
        <w:jc w:val="center"/>
      </w:pPr>
      <w:r>
        <w:rPr>
          <w:color w:val="0F6E56"/>
          <w:sz w:val="30"/>
          <w:szCs w:val="30"/>
        </w:rPr>
        <w:t xml:space="preserve">Interface Conversacional </w:t>
      </w:r>
      <w:proofErr w:type="spellStart"/>
      <w:r>
        <w:rPr>
          <w:color w:val="0F6E56"/>
          <w:sz w:val="30"/>
          <w:szCs w:val="30"/>
        </w:rPr>
        <w:t>Agêntica</w:t>
      </w:r>
      <w:proofErr w:type="spellEnd"/>
      <w:r>
        <w:rPr>
          <w:color w:val="0F6E56"/>
          <w:sz w:val="30"/>
          <w:szCs w:val="30"/>
        </w:rPr>
        <w:t xml:space="preserve"> sobre Sistema MVC</w:t>
      </w:r>
    </w:p>
    <w:p w14:paraId="588934A1" w14:textId="77777777" w:rsidR="006E20DA" w:rsidRDefault="00000000">
      <w:pPr>
        <w:spacing w:before="100"/>
        <w:jc w:val="center"/>
      </w:pPr>
      <w:r>
        <w:rPr>
          <w:i/>
          <w:iCs/>
          <w:color w:val="444441"/>
        </w:rPr>
        <w:t>Documento de concepção — versão para apresentação ao orientador e à equipe</w:t>
      </w:r>
    </w:p>
    <w:p w14:paraId="22B4F735" w14:textId="77777777" w:rsidR="006E20DA" w:rsidRDefault="006E20DA">
      <w:pPr>
        <w:spacing w:before="1600"/>
      </w:pPr>
    </w:p>
    <w:p w14:paraId="137C6341" w14:textId="1B4568B0" w:rsidR="006E20DA" w:rsidRDefault="00000000">
      <w:pPr>
        <w:jc w:val="center"/>
      </w:pPr>
      <w:r>
        <w:t xml:space="preserve">Equipe: Lucas </w:t>
      </w:r>
      <w:proofErr w:type="spellStart"/>
      <w:r>
        <w:t>Terminiello</w:t>
      </w:r>
      <w:proofErr w:type="spellEnd"/>
      <w:r>
        <w:t xml:space="preserve">, Matheus </w:t>
      </w:r>
      <w:proofErr w:type="spellStart"/>
      <w:r>
        <w:t>Malaman</w:t>
      </w:r>
      <w:proofErr w:type="spellEnd"/>
      <w:r>
        <w:t xml:space="preserve">, Jefferson Bruno C. Miguel, </w:t>
      </w:r>
      <w:r w:rsidR="0074250E">
        <w:t>Júlio Cena</w:t>
      </w:r>
    </w:p>
    <w:p w14:paraId="25F87487" w14:textId="77777777" w:rsidR="006E20DA" w:rsidRDefault="00000000">
      <w:pPr>
        <w:spacing w:before="100"/>
        <w:jc w:val="center"/>
      </w:pPr>
      <w:r>
        <w:t>Limeira, agosto de 2026</w:t>
      </w:r>
    </w:p>
    <w:p w14:paraId="479B368F" w14:textId="77777777" w:rsidR="006E20DA" w:rsidRDefault="00000000">
      <w:r>
        <w:br w:type="page"/>
      </w:r>
    </w:p>
    <w:p w14:paraId="2888EBC9" w14:textId="77777777" w:rsidR="006E20DA" w:rsidRDefault="00000000">
      <w:pPr>
        <w:pStyle w:val="Ttulo1"/>
      </w:pPr>
      <w:r>
        <w:lastRenderedPageBreak/>
        <w:t>Sumário</w:t>
      </w:r>
    </w:p>
    <w:p w14:paraId="27CA3DB6" w14:textId="77777777" w:rsidR="006E20DA" w:rsidRDefault="00000000">
      <w:pPr>
        <w:spacing w:after="140"/>
      </w:pPr>
      <w:r>
        <w:t>1. Contexto e motivação</w:t>
      </w:r>
    </w:p>
    <w:p w14:paraId="14AE31BB" w14:textId="77777777" w:rsidR="006E20DA" w:rsidRDefault="00000000">
      <w:pPr>
        <w:spacing w:after="140"/>
      </w:pPr>
      <w:r>
        <w:t>2. Conceito central</w:t>
      </w:r>
    </w:p>
    <w:p w14:paraId="79B698C3" w14:textId="77777777" w:rsidR="006E20DA" w:rsidRDefault="00000000">
      <w:pPr>
        <w:spacing w:after="140"/>
      </w:pPr>
      <w:r>
        <w:t>3. Arquitetura</w:t>
      </w:r>
    </w:p>
    <w:p w14:paraId="6D0F7C21" w14:textId="77777777" w:rsidR="006E20DA" w:rsidRDefault="00000000">
      <w:pPr>
        <w:spacing w:after="140"/>
      </w:pPr>
      <w:r>
        <w:t>4. Garantias de governança</w:t>
      </w:r>
    </w:p>
    <w:p w14:paraId="0619F19B" w14:textId="77777777" w:rsidR="006E20DA" w:rsidRDefault="00000000">
      <w:pPr>
        <w:spacing w:after="140"/>
      </w:pPr>
      <w:r>
        <w:t>5. Público-alvo e análise de mercado</w:t>
      </w:r>
    </w:p>
    <w:p w14:paraId="2C568547" w14:textId="77777777" w:rsidR="006E20DA" w:rsidRDefault="00000000">
      <w:pPr>
        <w:spacing w:after="140"/>
      </w:pPr>
      <w:r>
        <w:t>6. Predições sobre o público-alvo</w:t>
      </w:r>
    </w:p>
    <w:p w14:paraId="0E43B097" w14:textId="77777777" w:rsidR="006E20DA" w:rsidRDefault="00000000">
      <w:pPr>
        <w:spacing w:after="140"/>
      </w:pPr>
      <w:r>
        <w:t>7. Protótipo de interface</w:t>
      </w:r>
    </w:p>
    <w:p w14:paraId="55DA4262" w14:textId="77777777" w:rsidR="006E20DA" w:rsidRDefault="00000000">
      <w:pPr>
        <w:spacing w:after="140"/>
      </w:pPr>
      <w:r>
        <w:t>8. Requisitos preliminares</w:t>
      </w:r>
    </w:p>
    <w:p w14:paraId="313185EA" w14:textId="77777777" w:rsidR="006E20DA" w:rsidRDefault="00000000">
      <w:pPr>
        <w:spacing w:after="140"/>
      </w:pPr>
      <w:r>
        <w:t>9. Limitações reconhecidas</w:t>
      </w:r>
    </w:p>
    <w:p w14:paraId="53EB3374" w14:textId="77777777" w:rsidR="006E20DA" w:rsidRDefault="00000000">
      <w:pPr>
        <w:spacing w:after="140"/>
      </w:pPr>
      <w:r>
        <w:t>10. Próximos passos</w:t>
      </w:r>
    </w:p>
    <w:p w14:paraId="0121D3FE" w14:textId="77777777" w:rsidR="006E20DA" w:rsidRDefault="00000000">
      <w:pPr>
        <w:spacing w:after="140"/>
      </w:pPr>
      <w:r>
        <w:t>Referências</w:t>
      </w:r>
    </w:p>
    <w:p w14:paraId="09CE6B81" w14:textId="77777777" w:rsidR="006E20DA" w:rsidRDefault="00000000">
      <w:r>
        <w:br w:type="page"/>
      </w:r>
    </w:p>
    <w:p w14:paraId="4EFED821" w14:textId="77777777" w:rsidR="006E20DA" w:rsidRDefault="00000000">
      <w:pPr>
        <w:pStyle w:val="Ttulo1"/>
      </w:pPr>
      <w:r>
        <w:lastRenderedPageBreak/>
        <w:t>1. Contexto e motivação</w:t>
      </w:r>
    </w:p>
    <w:p w14:paraId="21B64C09" w14:textId="77777777" w:rsidR="006E20DA" w:rsidRDefault="00000000">
      <w:pPr>
        <w:spacing w:after="200" w:line="300" w:lineRule="auto"/>
      </w:pPr>
      <w:r>
        <w:t xml:space="preserve">O projeto Sentinel nasceu no anteprojeto original como uma plataforma SaaS </w:t>
      </w:r>
      <w:proofErr w:type="spellStart"/>
      <w:r>
        <w:t>multi-tenant</w:t>
      </w:r>
      <w:proofErr w:type="spellEnd"/>
      <w:r>
        <w:t xml:space="preserve"> de detecção de anomalias e manutenção preditiva, apoiada em serviços de IA do Azure. Durante o aprofundamento técnico da proposta, dois problemas concretos motivaram a revisão do conceito.</w:t>
      </w:r>
    </w:p>
    <w:p w14:paraId="698FAF90" w14:textId="77777777" w:rsidR="006E20DA" w:rsidRDefault="00000000">
      <w:pPr>
        <w:pStyle w:val="Ttulo2"/>
      </w:pPr>
      <w:r>
        <w:t>1.1 Inviabilidade técnica do caminho original</w:t>
      </w:r>
    </w:p>
    <w:p w14:paraId="484F0D4A" w14:textId="77777777" w:rsidR="006E20DA" w:rsidRDefault="00000000">
      <w:pPr>
        <w:spacing w:after="200" w:line="300" w:lineRule="auto"/>
      </w:pPr>
      <w:r>
        <w:t xml:space="preserve">O Azure AI </w:t>
      </w:r>
      <w:proofErr w:type="spellStart"/>
      <w:r>
        <w:t>Anomaly</w:t>
      </w:r>
      <w:proofErr w:type="spellEnd"/>
      <w:r>
        <w:t xml:space="preserve"> Detector, serviço que embasava a camada preditiva do anteprojeto, está sendo descontinuado pela Microsoft. Desde setembro de 2023 não é mais possível </w:t>
      </w:r>
      <w:proofErr w:type="gramStart"/>
      <w:r>
        <w:t>criar novos</w:t>
      </w:r>
      <w:proofErr w:type="gramEnd"/>
      <w:r>
        <w:t xml:space="preserve"> recursos do serviço, e sua aposentadoria definitiva ocorre em 1º de outubro de 2026 — junto com o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Advisor</w:t>
      </w:r>
      <w:proofErr w:type="spellEnd"/>
      <w:r>
        <w:t xml:space="preserve">, também cogitado. A Microsoft recomenda migração para </w:t>
      </w:r>
      <w:proofErr w:type="spellStart"/>
      <w:r>
        <w:t>Fabric</w:t>
      </w:r>
      <w:proofErr w:type="spellEnd"/>
      <w:r>
        <w:t xml:space="preserve"> ou para bibliotecas open-</w:t>
      </w:r>
      <w:proofErr w:type="spellStart"/>
      <w:r>
        <w:t>source</w:t>
      </w:r>
      <w:proofErr w:type="spellEnd"/>
      <w:r>
        <w:t xml:space="preserve"> de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.</w:t>
      </w:r>
    </w:p>
    <w:p w14:paraId="1BBDB1E4" w14:textId="77777777" w:rsidR="006E20DA" w:rsidRDefault="00000000">
      <w:pPr>
        <w:spacing w:after="200" w:line="300" w:lineRule="auto"/>
      </w:pPr>
      <w:r>
        <w:t>Além da descontinuação do serviço, a equipe identificou uma limitação de escopo: manutenção preditiva de verdade exige histórico de falhas e treinamento de modelo — recursos de tempo e dado que um TCC de poucos meses não comporta de forma realista.</w:t>
      </w:r>
    </w:p>
    <w:p w14:paraId="575E41C8" w14:textId="77777777" w:rsidR="006E20DA" w:rsidRDefault="00000000">
      <w:pPr>
        <w:pStyle w:val="Ttulo2"/>
      </w:pPr>
      <w:r>
        <w:t>1.2 Uma oportunidade mais forte</w:t>
      </w:r>
    </w:p>
    <w:p w14:paraId="560E7A36" w14:textId="77777777" w:rsidR="006E20DA" w:rsidRDefault="00000000">
      <w:pPr>
        <w:spacing w:after="200" w:line="300" w:lineRule="auto"/>
      </w:pPr>
      <w:r>
        <w:t xml:space="preserve">Da análise desses limites emergiu um conceito mais maduro e mais atual: em vez de prever falhas em sensores, o sistema passa a resolver um problema de usabilidade universal em softwares de gestão — a fricção entre o que o usuário quer fazer e a navegação por menus, telas e cadastros necessária para fazê-lo. A proposta revisada substitui a camada preditiva por uma camada de interface conversacional </w:t>
      </w:r>
      <w:proofErr w:type="spellStart"/>
      <w:r>
        <w:t>agêntica</w:t>
      </w:r>
      <w:proofErr w:type="spellEnd"/>
      <w:r>
        <w:t>: o usuário declara a intenção em linguagem natural, e um agente de IA orquestra as operações do sistema MVC já existente, mantendo o humano no controle de toda decisão de escrita.</w:t>
      </w:r>
    </w:p>
    <w:p w14:paraId="04733A52" w14:textId="77777777" w:rsidR="006E20DA" w:rsidRDefault="00000000">
      <w:pPr>
        <w:spacing w:after="200" w:line="300" w:lineRule="auto"/>
      </w:pPr>
      <w:r>
        <w:t>O nome Sentinel é mantido provisoriamente pela equipe, ainda que o novo escopo sugira revisão futura do nome para melhor refletir o produto (ex.: assistente de gestão em vez de sistema de vigilância de sensores).</w:t>
      </w:r>
    </w:p>
    <w:p w14:paraId="539100F4" w14:textId="77777777" w:rsidR="006E20DA" w:rsidRDefault="00000000">
      <w:pPr>
        <w:pStyle w:val="Ttulo1"/>
      </w:pPr>
      <w:r>
        <w:t>2. Conceito central</w:t>
      </w:r>
    </w:p>
    <w:p w14:paraId="7CDE6E13" w14:textId="77777777" w:rsidR="006E20DA" w:rsidRDefault="00000000">
      <w:pPr>
        <w:spacing w:after="200" w:line="300" w:lineRule="auto"/>
      </w:pPr>
      <w:r>
        <w:t>A ideia central do TCC pode ser resumida em uma frase: um sistema de gestão onde o usuário declara a intenção em linguagem natural, e um agente de IA orquestra as operações do sistema, mantendo o humano no controle das decisões.</w:t>
      </w:r>
    </w:p>
    <w:p w14:paraId="7C31BC25" w14:textId="77777777" w:rsidR="006E20DA" w:rsidRDefault="00000000">
      <w:pPr>
        <w:pStyle w:val="Ttulo2"/>
      </w:pPr>
      <w:r>
        <w:t>2.1 Exemplo de uso</w:t>
      </w:r>
    </w:p>
    <w:p w14:paraId="1B0BD15A" w14:textId="77777777" w:rsidR="006E20DA" w:rsidRDefault="00000000">
      <w:pPr>
        <w:spacing w:after="200" w:line="300" w:lineRule="auto"/>
      </w:pPr>
      <w:r>
        <w:t>O caso que originou o conceito ilustra bem a proposta: em vez de o usuário navegar por Cadastros → Funcionários → Filtros → Pagamento, ele digita "quais funcionários ainda não foram pagos até hoje?". O sistema responde com uma tabela editável e exportável. Em seguida, o usuário pede "marque esses como pagamento concluído", o sistema apresenta uma confirmação explícita da ação, e só após a aprovação humana grava a alteração no banco de dados.</w:t>
      </w:r>
    </w:p>
    <w:p w14:paraId="2F6B318E" w14:textId="77777777" w:rsidR="006E20DA" w:rsidRDefault="00000000">
      <w:pPr>
        <w:pStyle w:val="Ttulo2"/>
      </w:pPr>
      <w:r>
        <w:t>2.2 Fundamentação teórica</w:t>
      </w:r>
    </w:p>
    <w:p w14:paraId="3E58CF7B" w14:textId="77777777" w:rsidR="006E20DA" w:rsidRDefault="00000000">
      <w:pPr>
        <w:spacing w:after="200" w:line="300" w:lineRule="auto"/>
      </w:pPr>
      <w:r>
        <w:lastRenderedPageBreak/>
        <w:t>O conceito tem respaldo em literatura recente de interação humano-computador. Jakob Nielsen, referência histórica em usabilidade, descreveu a IA generativa como a primeira mudança de paradigma de interface em 60 anos: a transição da manipulação direta (o usuário especifica como fazer, clicando em elementos) para a especificação de intenção (o usuário declara o que quer, e o sistema resolve o como).</w:t>
      </w:r>
    </w:p>
    <w:p w14:paraId="701C72AE" w14:textId="77777777" w:rsidR="006E20D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17CBDC6" wp14:editId="798913F1">
            <wp:extent cx="4572000" cy="2400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649E" w14:textId="77777777" w:rsidR="006E20DA" w:rsidRDefault="00000000"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>Figura 1 — Mudança de paradigma de interface (Nielsen, 2023).</w:t>
      </w:r>
    </w:p>
    <w:p w14:paraId="55E8A7FC" w14:textId="77777777" w:rsidR="006E20DA" w:rsidRDefault="00000000">
      <w:pPr>
        <w:spacing w:after="200" w:line="300" w:lineRule="auto"/>
      </w:pPr>
      <w:r>
        <w:t xml:space="preserve">O mecanismo técnico que viabiliza essa transição é o tool </w:t>
      </w:r>
      <w:proofErr w:type="spellStart"/>
      <w:r>
        <w:t>calling</w:t>
      </w:r>
      <w:proofErr w:type="spellEnd"/>
      <w:r>
        <w:t xml:space="preserve"> (ou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): o modelo de linguagem recebe uma lista de ferramentas disponíveis e decide qual invocar, com quais parâmetros, sem executar a operação diretamente. O padrão de raciocínio-e-ação por trás do ciclo (interpretar, decidir, agir, observar o resultado) foi formalizado no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(Yao et al., 2022) e é hoje a base da documentação oficial de tool use da </w:t>
      </w:r>
      <w:proofErr w:type="spellStart"/>
      <w:r>
        <w:t>Anthropic</w:t>
      </w:r>
      <w:proofErr w:type="spellEnd"/>
      <w:r>
        <w:t xml:space="preserve"> e da Azure OpenAI. O modelo de supervisão adotado — toda ação de escrita depende de confirmação humana — é conhecido na literatura como 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-loop.</w:t>
      </w:r>
    </w:p>
    <w:p w14:paraId="59815D4A" w14:textId="77777777" w:rsidR="006E20DA" w:rsidRDefault="00000000">
      <w:pPr>
        <w:pStyle w:val="Ttulo2"/>
      </w:pPr>
      <w:r>
        <w:t>2.3 Os quatro padrões de interação</w:t>
      </w:r>
    </w:p>
    <w:p w14:paraId="52E4CB8E" w14:textId="77777777" w:rsidR="006E20DA" w:rsidRDefault="00000000">
      <w:pPr>
        <w:spacing w:after="200" w:line="300" w:lineRule="auto"/>
      </w:pPr>
      <w:r>
        <w:t>Da exploração de casos de uso emergiram quatro padrões que cobrem, na prática, qualquer requisito funcional do sistema:</w:t>
      </w:r>
    </w:p>
    <w:p w14:paraId="2E61E11A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Consulta com resultado tabular — o usuário pergunta, a IA responde com uma tabela editável, filtrável e exportável.</w:t>
      </w:r>
    </w:p>
    <w:p w14:paraId="7C05661A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Ação em massa com confirmação — a IA propõe uma alteração de dados, exibe um resumo do impacto (quantidade de registros, valores envolvidos) e só executa após confirmação explícita.</w:t>
      </w:r>
    </w:p>
    <w:p w14:paraId="762AF478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Cadastro ou atualização por formulário </w:t>
      </w:r>
      <w:proofErr w:type="spellStart"/>
      <w:r>
        <w:t>pré</w:t>
      </w:r>
      <w:proofErr w:type="spellEnd"/>
      <w:r>
        <w:t xml:space="preserve">-preenchido — a IA identifica a intenção de cadastro, abre o formulário já existente no sistema com os campos extraídos da frase preenchidos, destaca o que falta, e delega a validação e o salvamento ao </w:t>
      </w:r>
      <w:proofErr w:type="spellStart"/>
      <w:r>
        <w:t>backend</w:t>
      </w:r>
      <w:proofErr w:type="spellEnd"/>
      <w:r>
        <w:t xml:space="preserve"> tradicional.</w:t>
      </w:r>
    </w:p>
    <w:p w14:paraId="68F197B4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Log de auditoria — toda ação executada pela IA fica registrada de forma consultável, com autor, ferramenta, parâmetros e resultado.</w:t>
      </w:r>
    </w:p>
    <w:p w14:paraId="1755B4D3" w14:textId="77777777" w:rsidR="006E20DA" w:rsidRDefault="00000000">
      <w:pPr>
        <w:pStyle w:val="Ttulo1"/>
      </w:pPr>
      <w:r>
        <w:t>3. Arquitetura</w:t>
      </w:r>
    </w:p>
    <w:p w14:paraId="4E06D3B9" w14:textId="77777777" w:rsidR="006E20DA" w:rsidRDefault="00000000">
      <w:pPr>
        <w:spacing w:after="200" w:line="300" w:lineRule="auto"/>
      </w:pPr>
      <w:r>
        <w:t xml:space="preserve">O princípio arquitetural inegociável do projeto é que o modelo de linguagem nunca toca o banco de dados. O LLM é uma camada de decisão que escolhe, entre ferramentas </w:t>
      </w:r>
      <w:proofErr w:type="spellStart"/>
      <w:r>
        <w:t>pré</w:t>
      </w:r>
      <w:proofErr w:type="spellEnd"/>
      <w:r>
        <w:t xml:space="preserve">-registradas pelo </w:t>
      </w:r>
      <w:proofErr w:type="spellStart"/>
      <w:r>
        <w:t>backend</w:t>
      </w:r>
      <w:proofErr w:type="spellEnd"/>
      <w:r>
        <w:t xml:space="preserve">, qual invocar </w:t>
      </w:r>
      <w:r>
        <w:lastRenderedPageBreak/>
        <w:t xml:space="preserve">e com quais argumentos. Quem executa — valida, grava, audita — é o próprio sistema </w:t>
      </w:r>
      <w:proofErr w:type="spellStart"/>
      <w:r>
        <w:t>Laravel</w:t>
      </w:r>
      <w:proofErr w:type="spellEnd"/>
      <w:r>
        <w:t>, de forma inteiramente determinística.</w:t>
      </w:r>
    </w:p>
    <w:p w14:paraId="76F54E93" w14:textId="77777777" w:rsidR="006E20D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ACEFB8A" wp14:editId="1194A1B2">
            <wp:extent cx="4095750" cy="4667250"/>
            <wp:effectExtent l="0" t="0" r="0" b="0"/>
            <wp:docPr id="1134658446" name="Imagem 1134658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4C99" w14:textId="77777777" w:rsidR="006E20DA" w:rsidRDefault="00000000"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>Figura 2 — Fluxo de execução de uma intenção do usuário através das quatro camadas do sistema.</w:t>
      </w:r>
    </w:p>
    <w:p w14:paraId="5A8B5256" w14:textId="77777777" w:rsidR="006E20DA" w:rsidRDefault="00000000">
      <w:pPr>
        <w:pStyle w:val="Ttulo2"/>
      </w:pPr>
      <w:r>
        <w:t>3.1 As quatro camadas</w:t>
      </w:r>
    </w:p>
    <w:p w14:paraId="2DE29565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Camada de intenção (LLM) — interpreta a linguagem natural e decide qual ferramenta chamar; é a única camada não-determinística do sistema.</w:t>
      </w:r>
    </w:p>
    <w:p w14:paraId="688A0999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Camada de orquestração —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que monta o contexto e a lista de ferramentas disponíveis para o papel do usuário, envia ao LLM e gerencia o ciclo de raciocínio (que pode envolver mais de uma chamada em sequência).</w:t>
      </w:r>
    </w:p>
    <w:p w14:paraId="129F1E7B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Camada de ferramentas (tools) — funções explicitamente registradas e </w:t>
      </w:r>
      <w:proofErr w:type="spellStart"/>
      <w:r>
        <w:t>whitelisted</w:t>
      </w:r>
      <w:proofErr w:type="spellEnd"/>
      <w:r>
        <w:t>; valida permissões (RBAC) e decide se a operação exige confirmação humana antes de prosseguir.</w:t>
      </w:r>
    </w:p>
    <w:p w14:paraId="7D611DBC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Camada de execução (MVC) —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e </w:t>
      </w:r>
      <w:proofErr w:type="spellStart"/>
      <w:r>
        <w:t>Eloquent</w:t>
      </w:r>
      <w:proofErr w:type="spellEnd"/>
      <w:r>
        <w:t xml:space="preserve"> já existentes no sistema; aplica toda validação de negócio, sem qualquer interferência da IA.</w:t>
      </w:r>
    </w:p>
    <w:p w14:paraId="11BEB953" w14:textId="77777777" w:rsidR="006E20DA" w:rsidRDefault="00000000">
      <w:pPr>
        <w:spacing w:after="200" w:line="300" w:lineRule="auto"/>
      </w:pPr>
      <w:r>
        <w:t xml:space="preserve">O resultado de cada operação é devolvido como um de poucos componentes de apresentação (bloco de texto, tabela editável, formulário </w:t>
      </w:r>
      <w:proofErr w:type="spellStart"/>
      <w:r>
        <w:t>pré</w:t>
      </w:r>
      <w:proofErr w:type="spellEnd"/>
      <w:r>
        <w:t>-preenchido ou card de confirmação), e toda decisão da IA — executada, cancelada ou negada por permissão — é persistida em log de auditoria.</w:t>
      </w:r>
    </w:p>
    <w:p w14:paraId="5CD85ABA" w14:textId="77777777" w:rsidR="006E20DA" w:rsidRDefault="00000000">
      <w:pPr>
        <w:pStyle w:val="Ttulo2"/>
      </w:pPr>
      <w:r>
        <w:t>3.2 Stack tecnológica</w:t>
      </w:r>
    </w:p>
    <w:p w14:paraId="731D6689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Laravel</w:t>
      </w:r>
      <w:proofErr w:type="spellEnd"/>
      <w:r>
        <w:t xml:space="preserve"> 12, </w:t>
      </w:r>
      <w:proofErr w:type="spellStart"/>
      <w:r>
        <w:t>Blade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(</w:t>
      </w:r>
      <w:proofErr w:type="spellStart"/>
      <w:r>
        <w:t>stack</w:t>
      </w:r>
      <w:proofErr w:type="spellEnd"/>
      <w:r>
        <w:t xml:space="preserve"> já dominada pela equipe nos protótipos anteriores).</w:t>
      </w:r>
    </w:p>
    <w:p w14:paraId="49F39539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lastRenderedPageBreak/>
        <w:t xml:space="preserve">Banco de dados: MySQL, com isolamento lógico </w:t>
      </w:r>
      <w:proofErr w:type="spellStart"/>
      <w:r>
        <w:t>multi-tenant</w:t>
      </w:r>
      <w:proofErr w:type="spellEnd"/>
      <w:r>
        <w:t>.</w:t>
      </w:r>
    </w:p>
    <w:p w14:paraId="20B08480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Camada de IA: chamada HTTP à API de um provedor de LLM com suporte a tool </w:t>
      </w:r>
      <w:proofErr w:type="spellStart"/>
      <w:r>
        <w:t>calling</w:t>
      </w:r>
      <w:proofErr w:type="spellEnd"/>
      <w:r>
        <w:t xml:space="preserve"> (Azure OpenAI, mantendo coerência com o anteprojeto original e a certificação em curso, ou </w:t>
      </w:r>
      <w:proofErr w:type="spellStart"/>
      <w:r>
        <w:t>Anthropic</w:t>
      </w:r>
      <w:proofErr w:type="spellEnd"/>
      <w:r>
        <w:t xml:space="preserve"> API como alternativa).</w:t>
      </w:r>
    </w:p>
    <w:p w14:paraId="2ED7DF58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Interface de chat: </w:t>
      </w:r>
      <w:proofErr w:type="spellStart"/>
      <w:r>
        <w:t>Blade</w:t>
      </w:r>
      <w:proofErr w:type="spellEnd"/>
      <w:r>
        <w:t xml:space="preserve"> e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, com </w:t>
      </w:r>
      <w:proofErr w:type="spellStart"/>
      <w:r>
        <w:t>polling</w:t>
      </w:r>
      <w:proofErr w:type="spellEnd"/>
      <w:r>
        <w:t xml:space="preserve"> simples ou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para streaming de resposta — sem necessidade de </w:t>
      </w:r>
      <w:proofErr w:type="spellStart"/>
      <w:r>
        <w:t>WebSocket</w:t>
      </w:r>
      <w:proofErr w:type="spellEnd"/>
      <w:r>
        <w:t xml:space="preserve"> ou filas para o escopo de protótipo acadêmico.</w:t>
      </w:r>
    </w:p>
    <w:p w14:paraId="2A9FF954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Custo estimado de API para desenvolvimento e demonstração: da ordem de centavos por interação, irrisório para o orçamento de um TCC.</w:t>
      </w:r>
    </w:p>
    <w:p w14:paraId="562CD47F" w14:textId="77777777" w:rsidR="006E20DA" w:rsidRDefault="00000000">
      <w:pPr>
        <w:pStyle w:val="Ttulo2"/>
      </w:pPr>
      <w:r>
        <w:t>3.3 Resiliência a falhas de conectividade</w:t>
      </w:r>
    </w:p>
    <w:p w14:paraId="10E0E2D5" w14:textId="77777777" w:rsidR="006E20DA" w:rsidRDefault="00000000">
      <w:pPr>
        <w:spacing w:after="200" w:line="300" w:lineRule="auto"/>
      </w:pPr>
      <w:r>
        <w:t xml:space="preserve">A dependência de um serviço de IA de terceiros (seção 9) cobre, na prática, dois cenários distintos que exigem soluções diferentes. O primeiro é a ausência total de internet no dispositivo do usuário: nesse caso, uma aplicação </w:t>
      </w:r>
      <w:proofErr w:type="spellStart"/>
      <w:r>
        <w:t>Laravel</w:t>
      </w:r>
      <w:proofErr w:type="spellEnd"/>
      <w:r>
        <w:t>/</w:t>
      </w:r>
      <w:proofErr w:type="spellStart"/>
      <w:r>
        <w:t>Blade</w:t>
      </w:r>
      <w:proofErr w:type="spellEnd"/>
      <w:r>
        <w:t xml:space="preserve"> tradicional simplesmente não carrega, e resolver isso exigiria migrar a camada de apresentação para um PWA com Service </w:t>
      </w:r>
      <w:proofErr w:type="spellStart"/>
      <w:r>
        <w:t>Worker</w:t>
      </w:r>
      <w:proofErr w:type="spellEnd"/>
      <w:r>
        <w:t xml:space="preserve"> e armazenamento local (</w:t>
      </w:r>
      <w:proofErr w:type="spellStart"/>
      <w:r>
        <w:t>IndexedDB</w:t>
      </w:r>
      <w:proofErr w:type="spellEnd"/>
      <w:r>
        <w:t xml:space="preserve">), ou um aplicativo nativo com banco local — abordagem já demonstrada como viável pela própria equipe no protótipo </w:t>
      </w:r>
      <w:proofErr w:type="spellStart"/>
      <w:r>
        <w:t>Flutter</w:t>
      </w:r>
      <w:proofErr w:type="spellEnd"/>
      <w:r>
        <w:t xml:space="preserve"> do SENAI GMP, com </w:t>
      </w:r>
      <w:proofErr w:type="spellStart"/>
      <w:r>
        <w:t>SQLite</w:t>
      </w:r>
      <w:proofErr w:type="spellEnd"/>
      <w:r>
        <w:t xml:space="preserve"> e sem dependência de </w:t>
      </w:r>
      <w:proofErr w:type="spellStart"/>
      <w:r>
        <w:t>backend</w:t>
      </w:r>
      <w:proofErr w:type="spellEnd"/>
      <w:r>
        <w:t xml:space="preserve"> HTTP. Esse cenário é tratado como trabalho futuro (seção 10), por representar uma camada de tecnologia adicional fora do escopo do protótipo.</w:t>
      </w:r>
    </w:p>
    <w:p w14:paraId="1E6ABEED" w14:textId="77777777" w:rsidR="006E20DA" w:rsidRDefault="00000000">
      <w:pPr>
        <w:spacing w:after="200" w:line="300" w:lineRule="auto"/>
      </w:pPr>
      <w:r>
        <w:t>O segundo cenário — mais frequente na prática e dentro do escopo do TCC — é o de conectividade normal com a API de IA especificamente indisponível, lenta ou instável. Para esse caso, o projeto adota um mecanismo concreto de mitigação: fila local de comandos.</w:t>
      </w:r>
    </w:p>
    <w:p w14:paraId="002B50C2" w14:textId="77777777" w:rsidR="006E20D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E0BE4DC" wp14:editId="7957926D">
            <wp:extent cx="3810000" cy="3876675"/>
            <wp:effectExtent l="0" t="0" r="0" b="0"/>
            <wp:docPr id="1655598588" name="Imagem 1655598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E0F8" w14:textId="77777777" w:rsidR="006E20DA" w:rsidRDefault="00000000"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>Figura 2.1 — Fluxo de degradação quando a API de IA falha: o comando é enfileirado, o CRUD tradicional permanece disponível, e a reconexão exige nova confirmação.</w:t>
      </w:r>
    </w:p>
    <w:p w14:paraId="7A54504D" w14:textId="77777777" w:rsidR="006E20DA" w:rsidRDefault="00000000">
      <w:pPr>
        <w:spacing w:after="200" w:line="300" w:lineRule="auto"/>
      </w:pPr>
      <w:r>
        <w:lastRenderedPageBreak/>
        <w:t>O funcionamento é direto: o orquestrador tenta a chamada à API com um timeout curto, sem travar a interface. Em caso de falha, o comando em linguagem natural é persistido em uma fila local (tabela de comandos pendentes), o usuário é avisado sem bloqueio (ex.: indicador "2 comandos aguardando processamento"), e o CRUD tradicional permanece plenamente disponível como alternativa imediata. Um processo em segundo plano tenta reprocessar a fila periodicamente.</w:t>
      </w:r>
    </w:p>
    <w:p w14:paraId="0F9989C0" w14:textId="77777777" w:rsidR="006E20DA" w:rsidRDefault="00000000">
      <w:pPr>
        <w:spacing w:after="200" w:line="300" w:lineRule="auto"/>
      </w:pPr>
      <w:r>
        <w:t xml:space="preserve">A regra de segurança central desse mecanismo é que a fila guarda apenas a intenção do usuário, nunca a autorização de escrita. Quando a conexão retorna e um comando pendente é reprocessado, ele é reapresentado ao usuário para nova confirmação explícita antes de qualquer gravação — nunca executado às cegas. Isso evita que uma ação enfileirada minutos ou horas antes sobrescreva, com dados desatualizados, alterações feitas por outra pessoa nesse intervalo, e mantém coerência com o princípio de 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-loop já estabelecido na seção 4.</w:t>
      </w:r>
    </w:p>
    <w:p w14:paraId="10464679" w14:textId="77777777" w:rsidR="006E20DA" w:rsidRDefault="00000000">
      <w:pPr>
        <w:pStyle w:val="Ttulo1"/>
      </w:pPr>
      <w:r>
        <w:t>4. Garantias de governança</w:t>
      </w:r>
    </w:p>
    <w:p w14:paraId="730A3A83" w14:textId="77777777" w:rsidR="006E20DA" w:rsidRDefault="00000000">
      <w:pPr>
        <w:spacing w:after="200" w:line="300" w:lineRule="auto"/>
      </w:pPr>
      <w:r>
        <w:t>A maturidade do projeto está menos na camada de IA e mais nas garantias de engenharia que a cercam. São cinco garantias que, juntas, respondem à objeção mais comum a esse tipo de sistema: "e se a IA errar ou for manipulada?"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6E20DA" w14:paraId="5A15DC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3BA62" w14:textId="77777777" w:rsidR="006E20DA" w:rsidRDefault="00000000">
            <w:r>
              <w:rPr>
                <w:b/>
                <w:bCs/>
                <w:color w:val="FFFFFF"/>
                <w:sz w:val="20"/>
                <w:szCs w:val="20"/>
              </w:rPr>
              <w:t>Garantia</w:t>
            </w:r>
          </w:p>
        </w:tc>
        <w:tc>
          <w:tcPr>
            <w:tcW w:w="5800" w:type="dxa"/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2391C" w14:textId="77777777" w:rsidR="006E20DA" w:rsidRDefault="00000000">
            <w:r>
              <w:rPr>
                <w:b/>
                <w:bCs/>
                <w:color w:val="FFFFFF"/>
                <w:sz w:val="20"/>
                <w:szCs w:val="20"/>
              </w:rPr>
              <w:t>Como é aplicada</w:t>
            </w:r>
          </w:p>
        </w:tc>
      </w:tr>
      <w:tr w:rsidR="006E20DA" w14:paraId="67D126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95274" w14:textId="77777777" w:rsidR="006E20DA" w:rsidRDefault="00000000">
            <w:proofErr w:type="spellStart"/>
            <w:r>
              <w:rPr>
                <w:color w:val="000000"/>
                <w:sz w:val="20"/>
                <w:szCs w:val="20"/>
              </w:rPr>
              <w:t>Whitelist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ferramentas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CDCD8" w14:textId="77777777" w:rsidR="006E20DA" w:rsidRDefault="00000000">
            <w:r>
              <w:rPr>
                <w:color w:val="000000"/>
                <w:sz w:val="20"/>
                <w:szCs w:val="20"/>
              </w:rPr>
              <w:t xml:space="preserve">A IA só enxerga funções explicitamente registradas pelo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>; não existe caminho para execução de código ou consulta arbitrária.</w:t>
            </w:r>
          </w:p>
        </w:tc>
      </w:tr>
      <w:tr w:rsidR="006E20DA" w14:paraId="52E050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C77F9" w14:textId="77777777" w:rsidR="006E20DA" w:rsidRDefault="00000000">
            <w:r>
              <w:rPr>
                <w:color w:val="000000"/>
                <w:sz w:val="20"/>
                <w:szCs w:val="20"/>
              </w:rPr>
              <w:t>RBAC por ferramenta</w:t>
            </w:r>
          </w:p>
        </w:tc>
        <w:tc>
          <w:tcPr>
            <w:tcW w:w="58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37230" w14:textId="77777777" w:rsidR="006E20DA" w:rsidRDefault="00000000">
            <w:r>
              <w:rPr>
                <w:color w:val="000000"/>
                <w:sz w:val="20"/>
                <w:szCs w:val="20"/>
              </w:rPr>
              <w:t>O filtro de permissão ocorre antes da chamada ao LLM (o papel do usuário nem recebe a ferramenta na lista) e novamente na execução, como defesa em profundidade.</w:t>
            </w:r>
          </w:p>
        </w:tc>
      </w:tr>
      <w:tr w:rsidR="006E20DA" w14:paraId="668C49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B56BE" w14:textId="77777777" w:rsidR="006E20DA" w:rsidRPr="0074250E" w:rsidRDefault="00000000">
            <w:pPr>
              <w:rPr>
                <w:lang w:val="en-US"/>
              </w:rPr>
            </w:pPr>
            <w:proofErr w:type="spellStart"/>
            <w:r w:rsidRPr="0074250E">
              <w:rPr>
                <w:color w:val="000000"/>
                <w:sz w:val="20"/>
                <w:szCs w:val="20"/>
                <w:lang w:val="en-US"/>
              </w:rPr>
              <w:t>Confirmação</w:t>
            </w:r>
            <w:proofErr w:type="spellEnd"/>
            <w:r w:rsidRPr="0074250E">
              <w:rPr>
                <w:color w:val="000000"/>
                <w:sz w:val="20"/>
                <w:szCs w:val="20"/>
                <w:lang w:val="en-US"/>
              </w:rPr>
              <w:t xml:space="preserve"> humana (human-in-the-loop)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B78F5" w14:textId="77777777" w:rsidR="006E20DA" w:rsidRDefault="00000000">
            <w:r>
              <w:rPr>
                <w:color w:val="000000"/>
                <w:sz w:val="20"/>
                <w:szCs w:val="20"/>
              </w:rPr>
              <w:t>Toda operação de leitura executa direto; toda operação de escrita gera um card de confirmação explícita antes de qualquer INSERT, UPDATE ou DELETE.</w:t>
            </w:r>
          </w:p>
        </w:tc>
      </w:tr>
      <w:tr w:rsidR="006E20DA" w14:paraId="70131B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19747" w14:textId="77777777" w:rsidR="006E20DA" w:rsidRDefault="00000000">
            <w:r>
              <w:rPr>
                <w:color w:val="000000"/>
                <w:sz w:val="20"/>
                <w:szCs w:val="20"/>
              </w:rPr>
              <w:t>Validação determinística</w:t>
            </w:r>
          </w:p>
        </w:tc>
        <w:tc>
          <w:tcPr>
            <w:tcW w:w="58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53F89" w14:textId="77777777" w:rsidR="006E20DA" w:rsidRDefault="00000000">
            <w:r>
              <w:rPr>
                <w:color w:val="000000"/>
                <w:sz w:val="20"/>
                <w:szCs w:val="20"/>
              </w:rPr>
              <w:t xml:space="preserve">CPF, campos obrigatórios, regras de negócio e máscaras são validados pelo </w:t>
            </w:r>
            <w:proofErr w:type="spellStart"/>
            <w:r>
              <w:rPr>
                <w:color w:val="000000"/>
                <w:sz w:val="20"/>
                <w:szCs w:val="20"/>
              </w:rPr>
              <w:t>Form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nunca pela IA.</w:t>
            </w:r>
          </w:p>
        </w:tc>
      </w:tr>
      <w:tr w:rsidR="006E20DA" w14:paraId="6E96C4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02CB3" w14:textId="77777777" w:rsidR="006E20DA" w:rsidRDefault="00000000">
            <w:r>
              <w:rPr>
                <w:color w:val="000000"/>
                <w:sz w:val="20"/>
                <w:szCs w:val="20"/>
              </w:rPr>
              <w:t>Auditoria total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F92FC" w14:textId="77777777" w:rsidR="006E20DA" w:rsidRDefault="00000000">
            <w:r>
              <w:rPr>
                <w:color w:val="000000"/>
                <w:sz w:val="20"/>
                <w:szCs w:val="20"/>
              </w:rPr>
              <w:t>Cada decisão da IA é persistida: usuário, ferramenta, parâmetros, horário e desfecho (executada, cancelada ou negada).</w:t>
            </w:r>
          </w:p>
        </w:tc>
      </w:tr>
    </w:tbl>
    <w:p w14:paraId="28ED4142" w14:textId="77777777" w:rsidR="006E20DA" w:rsidRDefault="00000000">
      <w:pPr>
        <w:spacing w:after="200" w:line="300" w:lineRule="auto"/>
      </w:pPr>
      <w:r>
        <w:t xml:space="preserve">Essas cinco garantias também constituem a resposta estrutural ao risco de manipulação de prompt (prompt </w:t>
      </w:r>
      <w:proofErr w:type="spellStart"/>
      <w:r>
        <w:t>injection</w:t>
      </w:r>
      <w:proofErr w:type="spellEnd"/>
      <w:r>
        <w:t xml:space="preserve">): a regra de negócio não reside no texto trocado com o modelo, reside no </w:t>
      </w:r>
      <w:proofErr w:type="spellStart"/>
      <w:r>
        <w:t>backend</w:t>
      </w:r>
      <w:proofErr w:type="spellEnd"/>
      <w:r>
        <w:t xml:space="preserve"> determinístico. Um comando malicioso embutido na conversa não tem caminho de execução fora das ferramentas permitidas ao papel do usuário.</w:t>
      </w:r>
    </w:p>
    <w:p w14:paraId="30ED3C8C" w14:textId="77777777" w:rsidR="006E20DA" w:rsidRDefault="00000000">
      <w:pPr>
        <w:pStyle w:val="Ttulo1"/>
      </w:pPr>
      <w:r>
        <w:t>5. Público-alvo e análise de mercado</w:t>
      </w:r>
    </w:p>
    <w:p w14:paraId="183889D9" w14:textId="77777777" w:rsidR="006E20DA" w:rsidRDefault="00000000">
      <w:pPr>
        <w:spacing w:after="200" w:line="300" w:lineRule="auto"/>
      </w:pPr>
      <w:r>
        <w:t>A definição do público-alvo segue o mesmo rigor exigido do restante do projeto: apoiada em dados oficiais e recentes (Sebrae, 2025) em vez de suposição.</w:t>
      </w:r>
    </w:p>
    <w:p w14:paraId="4C0D0C25" w14:textId="77777777" w:rsidR="006E20DA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F995CE1" wp14:editId="298CF231">
            <wp:extent cx="4095750" cy="3810000"/>
            <wp:effectExtent l="0" t="0" r="0" b="0"/>
            <wp:docPr id="1178184838" name="Imagem 1178184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B7C4" w14:textId="77777777" w:rsidR="006E20DA" w:rsidRDefault="00000000"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>Figura 3 — Funil de definição do público-alvo com base em dados do Sebrae.</w:t>
      </w:r>
    </w:p>
    <w:p w14:paraId="7671A940" w14:textId="77777777" w:rsidR="006E20DA" w:rsidRDefault="00000000">
      <w:pPr>
        <w:pStyle w:val="Ttulo2"/>
      </w:pPr>
      <w:r>
        <w:t>5.1 O tamanho e a natureza do mercado</w:t>
      </w:r>
    </w:p>
    <w:p w14:paraId="0176EE4C" w14:textId="77777777" w:rsidR="006E20DA" w:rsidRDefault="00000000">
      <w:pPr>
        <w:spacing w:after="200" w:line="300" w:lineRule="auto"/>
      </w:pPr>
      <w:r>
        <w:t>O Brasil encerrou o segundo quadrimestre de 2025 com 24,2 milhões de empresas ativas, das quais 93,8% são micro e pequenas empresas (22,7 milhões, incluindo microempreendedores individuais). O dado que sustenta a proposta, porém, é o de adoção de tecnologia de gestão: apenas 47% dos pequenos negócios brasileiros utilizam softwares ou aplicativos integrativos que auxiliam na gestão de todas ou boa parte das atividades. A maioria ainda opera com planilhas, cadernos ou troca de mensagens.</w:t>
      </w:r>
    </w:p>
    <w:p w14:paraId="4AA07868" w14:textId="77777777" w:rsidR="006E20DA" w:rsidRDefault="00000000">
      <w:pPr>
        <w:pStyle w:val="Ttulo2"/>
      </w:pPr>
      <w:r>
        <w:t>5.2 O gargalo é a interface, não o acesso</w:t>
      </w:r>
    </w:p>
    <w:p w14:paraId="0937FA5D" w14:textId="77777777" w:rsidR="006E20DA" w:rsidRDefault="00000000">
      <w:pPr>
        <w:spacing w:after="200" w:line="300" w:lineRule="auto"/>
      </w:pPr>
      <w:r>
        <w:t xml:space="preserve">Os dados descartam a hipótese de que o problema seja infraestrutura: 76% dos empreendedores já contam com computadores em suas atividades, e 88% usam internet no dia a dia. O uso, porém, é concentrado em redes sociais e serviços bancários — menos de 13% chegam a usar plataformas de gestão. A pesquisa de maturidade digital do Sebrae reforça o diagnóstico: dois terços dos pequenos negócios permanecem entre os níveis </w:t>
      </w:r>
      <w:proofErr w:type="spellStart"/>
      <w:r>
        <w:t>baixo</w:t>
      </w:r>
      <w:proofErr w:type="spellEnd"/>
      <w:r>
        <w:t xml:space="preserve"> e médio de maturidade digital, mesmo com acesso técnico disponível. O padrão observado é de um empreendedor fluente em interface de conversa (WhatsApp, redes sociais) e não familiarizado com interface de sistema (menus, módulos, cadastros) — exatamente o gap que a interface conversacional </w:t>
      </w:r>
      <w:proofErr w:type="spellStart"/>
      <w:r>
        <w:t>agêntica</w:t>
      </w:r>
      <w:proofErr w:type="spellEnd"/>
      <w:r>
        <w:t xml:space="preserve"> ataca.</w:t>
      </w:r>
    </w:p>
    <w:p w14:paraId="438C72CA" w14:textId="77777777" w:rsidR="006E20DA" w:rsidRDefault="00000000">
      <w:pPr>
        <w:pStyle w:val="Ttulo2"/>
      </w:pPr>
      <w:r>
        <w:t>5.3 Definição do público-alvo</w:t>
      </w:r>
    </w:p>
    <w:p w14:paraId="7E1C8147" w14:textId="77777777" w:rsidR="006E20DA" w:rsidRDefault="00000000">
      <w:pPr>
        <w:spacing w:after="200" w:line="300" w:lineRule="auto"/>
      </w:pPr>
      <w:r>
        <w:t>Com base nesses dados, a equipe define como público-alvo: micro e pequenas empresas brasileiras com aproximadamente 2 a 20 funcionários, geridas por um dono-operador sem departamento administrativo dedicado. Ficam fora do escopo:</w:t>
      </w:r>
    </w:p>
    <w:p w14:paraId="26986F17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lastRenderedPageBreak/>
        <w:t>O MEI solo — em geral opera sozinho, sem folha de pagamento ou estoque complexo; suas necessidades cabem em planilha simples e aplicativo bancário, com baixa disposição a pagar por um sistema de gestão.</w:t>
      </w:r>
    </w:p>
    <w:p w14:paraId="40EA8738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A média empresa — já possui ERP implantado e equipe administrativa treinada; para quem já aprendeu os menus, clicar tende a ser mais rápido que redigir um comando.</w:t>
      </w:r>
    </w:p>
    <w:p w14:paraId="00523C39" w14:textId="77777777" w:rsidR="006E20DA" w:rsidRDefault="00000000">
      <w:pPr>
        <w:spacing w:after="200" w:line="300" w:lineRule="auto"/>
      </w:pPr>
      <w:r>
        <w:t>O perfil ideal está no meio dessas duas pontas: um negócio complexo demais para planilha, mas ainda pequeno demais para justificar treinamento em um ERP tradicional — e cujo gestor administra o sistema nas brechas do próprio expediente.</w:t>
      </w:r>
    </w:p>
    <w:p w14:paraId="6DDD181E" w14:textId="77777777" w:rsidR="006E20DA" w:rsidRDefault="00000000">
      <w:pPr>
        <w:pStyle w:val="Ttulo3"/>
      </w:pPr>
      <w:r>
        <w:t>Nota metodológica</w:t>
      </w:r>
    </w:p>
    <w:p w14:paraId="55F326B1" w14:textId="77777777" w:rsidR="006E20DA" w:rsidRDefault="00000000">
      <w:pPr>
        <w:spacing w:after="240" w:line="280" w:lineRule="auto"/>
      </w:pPr>
      <w:r>
        <w:rPr>
          <w:i/>
          <w:iCs/>
          <w:color w:val="444441"/>
          <w:sz w:val="20"/>
          <w:szCs w:val="20"/>
        </w:rPr>
        <w:t xml:space="preserve">A seção 5 apresenta estatísticas de fontes oficiais (Sebrae, Mapa de Empresas). A seção 6, a seguir, apresenta inferências e projeções da equipe construídas sobre esses dados — </w:t>
      </w:r>
      <w:proofErr w:type="gramStart"/>
      <w:r>
        <w:rPr>
          <w:i/>
          <w:iCs/>
          <w:color w:val="444441"/>
          <w:sz w:val="20"/>
          <w:szCs w:val="20"/>
        </w:rPr>
        <w:t>tratam-se</w:t>
      </w:r>
      <w:proofErr w:type="gramEnd"/>
      <w:r>
        <w:rPr>
          <w:i/>
          <w:iCs/>
          <w:color w:val="444441"/>
          <w:sz w:val="20"/>
          <w:szCs w:val="20"/>
        </w:rPr>
        <w:t xml:space="preserve"> de hipóteses argumentadas, não de fatos estabelecidos, e devem ser lidas e citadas nesse registro.</w:t>
      </w:r>
    </w:p>
    <w:p w14:paraId="6C203CD3" w14:textId="77777777" w:rsidR="006E20DA" w:rsidRDefault="00000000">
      <w:pPr>
        <w:pStyle w:val="Ttulo1"/>
      </w:pPr>
      <w:r>
        <w:t>6. Predições sobre o público-alvo</w:t>
      </w:r>
    </w:p>
    <w:p w14:paraId="2BCA5367" w14:textId="77777777" w:rsidR="006E20DA" w:rsidRDefault="00000000">
      <w:pPr>
        <w:spacing w:after="200" w:line="300" w:lineRule="auto"/>
      </w:pPr>
      <w:r>
        <w:t>A partir da análise estatística, a equipe formula seis predições sobre a relação entre esse público e um sistema de interface conversacional. Cada uma é uma extrapolação argumentada, não um dado medido, e é apresentada como tal.</w:t>
      </w:r>
    </w:p>
    <w:p w14:paraId="0BEE6DDD" w14:textId="77777777" w:rsidR="006E20DA" w:rsidRDefault="00000000">
      <w:pPr>
        <w:pStyle w:val="Ttulo2"/>
      </w:pPr>
      <w:r>
        <w:t>6.1 O público cresce por substituição geracional</w:t>
      </w:r>
    </w:p>
    <w:p w14:paraId="54F969C9" w14:textId="77777777" w:rsidR="006E20DA" w:rsidRDefault="00000000">
      <w:pPr>
        <w:spacing w:after="200" w:line="300" w:lineRule="auto"/>
      </w:pPr>
      <w:r>
        <w:t xml:space="preserve">Entre empreendedores de até 34 anos, o uso de aplicativos de gestão já chega a 57%, contra 47% na média geral. Essa diferença não é </w:t>
      </w:r>
      <w:proofErr w:type="gramStart"/>
      <w:r>
        <w:t>ruído</w:t>
      </w:r>
      <w:proofErr w:type="gramEnd"/>
      <w:r>
        <w:t xml:space="preserve"> — é uma fotografia de coorte. Quem abre negócio hoje amadureceu digitalmente dentro de interfaces de conversa. A cada ciclo de renovação empresarial, a fração de gestores que espera interagir por linguagem natural tende a crescer, e a fração treinada em navegação por menus tende a diminuir. A predição é que o encaixe do produto com o mercado não é uma janela que se fecha, mas uma que se abre progressivamente.</w:t>
      </w:r>
    </w:p>
    <w:p w14:paraId="7F5C2E30" w14:textId="77777777" w:rsidR="006E20DA" w:rsidRDefault="00000000">
      <w:pPr>
        <w:pStyle w:val="Ttulo2"/>
      </w:pPr>
      <w:r>
        <w:t>6.2 O mercado tende a pular a era do ERP tradicional (</w:t>
      </w:r>
      <w:proofErr w:type="spellStart"/>
      <w:r>
        <w:t>leapfrog</w:t>
      </w:r>
      <w:proofErr w:type="spellEnd"/>
      <w:r>
        <w:t>)</w:t>
      </w:r>
    </w:p>
    <w:p w14:paraId="0E64F667" w14:textId="77777777" w:rsidR="006E20DA" w:rsidRDefault="00000000">
      <w:pPr>
        <w:spacing w:after="200" w:line="300" w:lineRule="auto"/>
      </w:pPr>
      <w:r>
        <w:t>Segue-se o padrão de salto tecnológico observado em outras transições brasileiras (o país que pulou o cheque e foi direto ao Pix). Os 53% de pequenos negócios que nunca adotaram software de gestão dificilmente passarão por uma fase intermediária de "aprender um ERP de menus"; sua primeira experiência com sistema estruturado tende a ser conversacional ou simplesmente não ocorrerá. Consequência prática: o concorrente direto do produto não é um ERP estabelecido, é a planilha e a conversa informal — o sistema não precisa superar concorrentes em quantidade de funcionalidades, precisa superar o caderno em conveniência.</w:t>
      </w:r>
    </w:p>
    <w:p w14:paraId="524D96C6" w14:textId="77777777" w:rsidR="006E20DA" w:rsidRDefault="00000000">
      <w:pPr>
        <w:pStyle w:val="Ttulo2"/>
      </w:pPr>
      <w:r>
        <w:t>6.3 A adoção será decidida por confiança, não por capacidade técnica</w:t>
      </w:r>
    </w:p>
    <w:p w14:paraId="059DFD1B" w14:textId="77777777" w:rsidR="006E20DA" w:rsidRDefault="00000000">
      <w:pPr>
        <w:spacing w:after="200" w:line="300" w:lineRule="auto"/>
      </w:pPr>
      <w:r>
        <w:t xml:space="preserve">O receio predominante nesse perfil de usuário é o de "clicar errado e estragar algo" — motivo frequente pelo qual esse público delega o sistema a terceiros (como o contador) e nunca </w:t>
      </w:r>
      <w:proofErr w:type="gramStart"/>
      <w:r>
        <w:t>o opera</w:t>
      </w:r>
      <w:proofErr w:type="gramEnd"/>
      <w:r>
        <w:t xml:space="preserve"> diretamente. A predição é que a retenção de um sistema como este correlacionará mais com a qualidade do fluxo de confirmação (mostrar o que vai acontecer antes de acontecer, permitir desfazer, explicar o resultado) do </w:t>
      </w:r>
      <w:r>
        <w:lastRenderedPageBreak/>
        <w:t>que com a quantidade de funcionalidades oferecidas. Isso eleva o card de confirmação de escrita de mero requisito de governança a principal mecanismo de construção de confiança do produto.</w:t>
      </w:r>
    </w:p>
    <w:p w14:paraId="190399C0" w14:textId="77777777" w:rsidR="006E20DA" w:rsidRDefault="00000000">
      <w:pPr>
        <w:pStyle w:val="Ttulo2"/>
      </w:pPr>
      <w:r>
        <w:t>6.4 O uso tenderá a ser móvel, fragmentado e, no Brasil, falado</w:t>
      </w:r>
    </w:p>
    <w:p w14:paraId="3A2E2348" w14:textId="77777777" w:rsidR="006E20DA" w:rsidRDefault="00000000">
      <w:pPr>
        <w:spacing w:after="200" w:line="300" w:lineRule="auto"/>
      </w:pPr>
      <w:r>
        <w:t xml:space="preserve">O padrão de uso esperado é de sessões curtas e frequentes, predominantemente em celular, encaixadas nas brechas da operação — no balcão, entre atendimentos, no fechamento do dia. Um fator cultural específico do Brasil reforça essa predição: a cultura do áudio de WhatsApp. Um público que já administra fornecedores e clientes por </w:t>
      </w:r>
      <w:proofErr w:type="spellStart"/>
      <w:r>
        <w:t>mensagem</w:t>
      </w:r>
      <w:proofErr w:type="spellEnd"/>
      <w:r>
        <w:t xml:space="preserve"> de voz tende a tratar a entrada por voz não como recurso avançado, mas como expectativa natural de uso — item registrado como trabalho futuro do projeto.</w:t>
      </w:r>
    </w:p>
    <w:p w14:paraId="170C5468" w14:textId="77777777" w:rsidR="006E20DA" w:rsidRDefault="00000000">
      <w:pPr>
        <w:pStyle w:val="Ttulo2"/>
      </w:pPr>
      <w:r>
        <w:t>6.5 A interface estrutura o dado que hoje não existe — e reabre a predição original</w:t>
      </w:r>
    </w:p>
    <w:p w14:paraId="4F0EC5B0" w14:textId="77777777" w:rsidR="006E20DA" w:rsidRDefault="00000000">
      <w:pPr>
        <w:spacing w:after="200" w:line="300" w:lineRule="auto"/>
      </w:pPr>
      <w:r>
        <w:t xml:space="preserve">Hoje esse público é, do ponto de vista de dados, praticamente invisível: sua operação vive em planilhas informais e conversas de WhatsApp, sem estrutura analisável. Ao capturar cada intenção do usuário como uma chamada de ferramenta </w:t>
      </w:r>
      <w:proofErr w:type="spellStart"/>
      <w:r>
        <w:t>tipada</w:t>
      </w:r>
      <w:proofErr w:type="spellEnd"/>
      <w:r>
        <w:t>, o sistema estrutura esse dado no banco como efeito colateral do uso comum, sem exigir esforço adicional do usuário. Depois de meses de uso, esse negócio passa a ter, pela primeira vez, um histórico limpo e analisável.</w:t>
      </w:r>
    </w:p>
    <w:p w14:paraId="04C2DBB7" w14:textId="77777777" w:rsidR="006E20D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F33FC19" wp14:editId="285B0AB3">
            <wp:extent cx="4381500" cy="4000500"/>
            <wp:effectExtent l="0" t="0" r="0" b="0"/>
            <wp:docPr id="357836087" name="Imagem 357836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A8BD" w14:textId="77777777" w:rsidR="006E20DA" w:rsidRDefault="00000000"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>Figura 4 — Ciclo pelo qual a interface conversacional viabiliza, no futuro, a camada preditiva do anteprojeto original.</w:t>
      </w:r>
    </w:p>
    <w:p w14:paraId="6A1D2968" w14:textId="77777777" w:rsidR="006E20DA" w:rsidRDefault="00000000">
      <w:pPr>
        <w:spacing w:after="200" w:line="300" w:lineRule="auto"/>
      </w:pPr>
      <w:r>
        <w:t>Essa predição fecha um ciclo narrativo importante para o TCC: a camada de detecção de anomalias e manutenção preditiva do anteprojeto original — descartada por falta de dado histórico e de tempo hábil para treinamento — deixa de ser inviável e passa a ser um trabalho futuro natural, já apoiado sobre dados estruturados gerados pela própria interface conversacional.</w:t>
      </w:r>
    </w:p>
    <w:p w14:paraId="7BCA774F" w14:textId="77777777" w:rsidR="006E20DA" w:rsidRDefault="00000000">
      <w:pPr>
        <w:pStyle w:val="Ttulo2"/>
      </w:pPr>
      <w:r>
        <w:lastRenderedPageBreak/>
        <w:t>6.6 Risco previsto: fadiga de confirmação</w:t>
      </w:r>
    </w:p>
    <w:p w14:paraId="21500D8F" w14:textId="77777777" w:rsidR="006E20DA" w:rsidRDefault="00000000">
      <w:pPr>
        <w:spacing w:after="200" w:line="300" w:lineRule="auto"/>
      </w:pPr>
      <w:r>
        <w:t>À medida que a confiança no sistema cresce, é esperado que o usuário passe a confirmar ações automaticamente, sem revisar o conteúdo — o mesmo padrão observado na aceitação irrefletida de termos de uso. Como a tolerância a erro desse público é assimétrica (uma consulta errada é irrelevante; um pagamento errado é grave), a predição é que o sistema precisará de fricção proporcional ao risco da ação: confirmação simples para operações de baixo impacto, confirmação reforçada (segunda etapa, resumo de valores, ou similar) para ações financeiras ou em massa. Esse ponto é tratado como limitação de projeto na seção 9.</w:t>
      </w:r>
    </w:p>
    <w:p w14:paraId="1724E42B" w14:textId="77777777" w:rsidR="006E20DA" w:rsidRDefault="00000000">
      <w:pPr>
        <w:pStyle w:val="Ttulo2"/>
      </w:pPr>
      <w:r>
        <w:t>6.7 Síntese</w:t>
      </w:r>
    </w:p>
    <w:p w14:paraId="7D520874" w14:textId="77777777" w:rsidR="006E20DA" w:rsidRDefault="00000000">
      <w:pPr>
        <w:spacing w:after="200" w:line="300" w:lineRule="auto"/>
      </w:pPr>
      <w:r>
        <w:rPr>
          <w:b/>
          <w:bCs/>
        </w:rPr>
        <w:t>O público-alvo não se define apenas por porte de empresa, mas por um perfil cognitivo: gestores cuja alfabetização digital ocorreu em interfaces de conversa, administrando negócios complexos demais para planilha e simples demais para ERP. Esse grupo tende a crescer a cada ano e dificilmente será convertido por software de menus tradicionais.</w:t>
      </w:r>
    </w:p>
    <w:p w14:paraId="4F1B4B3E" w14:textId="77777777" w:rsidR="006E20DA" w:rsidRDefault="00000000">
      <w:pPr>
        <w:pStyle w:val="Ttulo1"/>
      </w:pPr>
      <w:r>
        <w:t>7. Protótipo de interface</w:t>
      </w:r>
    </w:p>
    <w:p w14:paraId="65226229" w14:textId="77777777" w:rsidR="006E20DA" w:rsidRDefault="00000000">
      <w:pPr>
        <w:spacing w:after="200" w:line="300" w:lineRule="auto"/>
      </w:pPr>
      <w:r>
        <w:t xml:space="preserve">O protótipo visual de baixa fidelidade foi desenvolvido no </w:t>
      </w:r>
      <w:proofErr w:type="spellStart"/>
      <w:r>
        <w:t>Figma</w:t>
      </w:r>
      <w:proofErr w:type="spellEnd"/>
      <w:r>
        <w:t xml:space="preserve"> e está disponível para consulta da equipe e do orientador em:</w:t>
      </w:r>
    </w:p>
    <w:p w14:paraId="731CBA86" w14:textId="77777777" w:rsidR="006E20DA" w:rsidRDefault="00000000">
      <w:pPr>
        <w:spacing w:after="240"/>
      </w:pPr>
      <w:hyperlink r:id="rId11" w:history="1">
        <w:r>
          <w:rPr>
            <w:rStyle w:val="Hyperlink"/>
          </w:rPr>
          <w:t>https://www.figma.com/design/CGcy71aZf172pjjyEqimTQ/Sentinel?node-id=2-7</w:t>
        </w:r>
      </w:hyperlink>
    </w:p>
    <w:p w14:paraId="302C9BA5" w14:textId="77777777" w:rsidR="006E20DA" w:rsidRDefault="00000000">
      <w:pPr>
        <w:spacing w:after="200" w:line="300" w:lineRule="auto"/>
      </w:pPr>
      <w:r>
        <w:t>O protótipo cobre quatro telas que narram o ciclo completo de uso do sistema:</w:t>
      </w:r>
    </w:p>
    <w:p w14:paraId="3A5BD13F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Tela 1 — Consulta conversacional: o usuário pergunta em linguagem natural e recebe uma tabela editável e exportável como resposta.</w:t>
      </w:r>
    </w:p>
    <w:p w14:paraId="6F774296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Tela 2 — Confirmação de ação em massa: a IA propõe uma alteração de dados, resume o impacto e aguarda confirmação explícita antes de gravar.</w:t>
      </w:r>
    </w:p>
    <w:p w14:paraId="4D42797D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Tela 3 — Log de auditoria: histórico de ações da </w:t>
      </w:r>
      <w:proofErr w:type="gramStart"/>
      <w:r>
        <w:t>IA, incluindo</w:t>
      </w:r>
      <w:proofErr w:type="gramEnd"/>
      <w:r>
        <w:t xml:space="preserve"> ao menos um exemplo de ação negada por falta de permissão (RBAC em funcionamento).</w:t>
      </w:r>
    </w:p>
    <w:p w14:paraId="0A3B9A23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Tela 4 — Formulário </w:t>
      </w:r>
      <w:proofErr w:type="spellStart"/>
      <w:r>
        <w:t>pré</w:t>
      </w:r>
      <w:proofErr w:type="spellEnd"/>
      <w:r>
        <w:t xml:space="preserve">-preenchido: a IA identifica intenção de cadastro ou atualização e abre o formulário </w:t>
      </w:r>
      <w:proofErr w:type="spellStart"/>
      <w:r>
        <w:t>Blade</w:t>
      </w:r>
      <w:proofErr w:type="spellEnd"/>
      <w:r>
        <w:t xml:space="preserve"> já existente, com os campos extraídos da frase preenchidos e os campos obrigatórios faltantes destacados.</w:t>
      </w:r>
    </w:p>
    <w:p w14:paraId="2B94EF82" w14:textId="77777777" w:rsidR="006E20DA" w:rsidRDefault="00000000">
      <w:pPr>
        <w:spacing w:after="200" w:line="300" w:lineRule="auto"/>
      </w:pPr>
      <w:r>
        <w:t xml:space="preserve">Essas quatro telas, apresentadas nessa ordem, funcionam como narrativa de </w:t>
      </w:r>
      <w:proofErr w:type="spellStart"/>
      <w:r>
        <w:t>pitch</w:t>
      </w:r>
      <w:proofErr w:type="spellEnd"/>
      <w:r>
        <w:t>: "eu pergunto, o sistema responde com dado real; eu peço para agir, ele confirma antes de agir; e tudo fica auditado" — e tornam explícitos, só pela sequência, os três principais requisitos não-funcionais do projeto (confirmação, auditoria e controle de acesso).</w:t>
      </w:r>
    </w:p>
    <w:p w14:paraId="0BB509F3" w14:textId="77777777" w:rsidR="006E20DA" w:rsidRDefault="00000000">
      <w:pPr>
        <w:pStyle w:val="Ttulo1"/>
      </w:pPr>
      <w:r>
        <w:t>8. Requisitos preliminares</w:t>
      </w:r>
    </w:p>
    <w:p w14:paraId="3B4B59D6" w14:textId="77777777" w:rsidR="006E20DA" w:rsidRDefault="00000000">
      <w:pPr>
        <w:spacing w:after="240" w:line="280" w:lineRule="auto"/>
      </w:pPr>
      <w:r>
        <w:rPr>
          <w:i/>
          <w:iCs/>
          <w:color w:val="444441"/>
          <w:sz w:val="20"/>
          <w:szCs w:val="20"/>
        </w:rPr>
        <w:t>Os requisitos abaixo são independentes do domínio de aplicação (manutenção, confecção, escolar ou outro). Quando a equipe definir o domínio do protótipo, cada requisito recebe os substantivos específicos (ex.: "funcionário" torna-se "aluno" no domínio escolar).</w:t>
      </w:r>
    </w:p>
    <w:p w14:paraId="54C2472D" w14:textId="77777777" w:rsidR="006E20DA" w:rsidRDefault="00000000">
      <w:pPr>
        <w:pStyle w:val="Ttulo2"/>
      </w:pPr>
      <w:r>
        <w:lastRenderedPageBreak/>
        <w:t>8.1 Requisitos funcionais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6E20DA" w14:paraId="19777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15A6C" w14:textId="77777777" w:rsidR="006E20D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700" w:type="dxa"/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6A93D" w14:textId="77777777" w:rsidR="006E20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E20DA" w14:paraId="5FCF74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103D1" w14:textId="77777777" w:rsidR="006E20DA" w:rsidRDefault="00000000">
            <w:r>
              <w:rPr>
                <w:color w:val="000000"/>
                <w:sz w:val="20"/>
                <w:szCs w:val="20"/>
              </w:rPr>
              <w:t>RF01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C2AB7" w14:textId="77777777" w:rsidR="006E20DA" w:rsidRDefault="00000000">
            <w:r>
              <w:rPr>
                <w:color w:val="000000"/>
                <w:sz w:val="20"/>
                <w:szCs w:val="20"/>
              </w:rPr>
              <w:t>O sistema deve interpretar comandos em linguagem natural e mapeá-los para operações válidas do sistema.</w:t>
            </w:r>
          </w:p>
        </w:tc>
      </w:tr>
      <w:tr w:rsidR="006E20DA" w14:paraId="1E059F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B0E5DD" w14:textId="77777777" w:rsidR="006E20DA" w:rsidRDefault="00000000">
            <w:r>
              <w:rPr>
                <w:color w:val="000000"/>
                <w:sz w:val="20"/>
                <w:szCs w:val="20"/>
              </w:rPr>
              <w:t>RF02</w:t>
            </w:r>
          </w:p>
        </w:tc>
        <w:tc>
          <w:tcPr>
            <w:tcW w:w="77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F1858" w14:textId="77777777" w:rsidR="006E20DA" w:rsidRDefault="00000000">
            <w:r>
              <w:rPr>
                <w:color w:val="000000"/>
                <w:sz w:val="20"/>
                <w:szCs w:val="20"/>
              </w:rPr>
              <w:t>O sistema deve consultar registros com filtros expressos em linguagem natural e retornar tabela editável e exportável.</w:t>
            </w:r>
          </w:p>
        </w:tc>
      </w:tr>
      <w:tr w:rsidR="006E20DA" w14:paraId="6E9D8B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BCF7E" w14:textId="77777777" w:rsidR="006E20DA" w:rsidRDefault="00000000">
            <w:r>
              <w:rPr>
                <w:color w:val="000000"/>
                <w:sz w:val="20"/>
                <w:szCs w:val="20"/>
              </w:rPr>
              <w:t>RF03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3E74F" w14:textId="77777777" w:rsidR="006E20DA" w:rsidRDefault="00000000">
            <w:r>
              <w:rPr>
                <w:color w:val="000000"/>
                <w:sz w:val="20"/>
                <w:szCs w:val="20"/>
              </w:rPr>
              <w:t>O sistema deve executar ações em massa sobre registros somente mediante confirmação explícita do usuário.</w:t>
            </w:r>
          </w:p>
        </w:tc>
      </w:tr>
      <w:tr w:rsidR="006E20DA" w14:paraId="7FD5F9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50ADF" w14:textId="77777777" w:rsidR="006E20DA" w:rsidRDefault="00000000">
            <w:r>
              <w:rPr>
                <w:color w:val="000000"/>
                <w:sz w:val="20"/>
                <w:szCs w:val="20"/>
              </w:rPr>
              <w:t>RF04</w:t>
            </w:r>
          </w:p>
        </w:tc>
        <w:tc>
          <w:tcPr>
            <w:tcW w:w="77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ECC07" w14:textId="77777777" w:rsidR="006E20DA" w:rsidRDefault="00000000">
            <w:r>
              <w:rPr>
                <w:color w:val="000000"/>
                <w:sz w:val="20"/>
                <w:szCs w:val="20"/>
              </w:rPr>
              <w:t xml:space="preserve">O sistema deve permitir cadastro e atualização de registros por formulário </w:t>
            </w:r>
            <w:proofErr w:type="spellStart"/>
            <w:r>
              <w:rPr>
                <w:color w:val="000000"/>
                <w:sz w:val="20"/>
                <w:szCs w:val="20"/>
              </w:rPr>
              <w:t>pré</w:t>
            </w:r>
            <w:proofErr w:type="spellEnd"/>
            <w:r>
              <w:rPr>
                <w:color w:val="000000"/>
                <w:sz w:val="20"/>
                <w:szCs w:val="20"/>
              </w:rPr>
              <w:t>-preenchido, invocado pela IA a partir da intenção do usuário.</w:t>
            </w:r>
          </w:p>
        </w:tc>
      </w:tr>
      <w:tr w:rsidR="006E20DA" w14:paraId="00562E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4AB2E" w14:textId="77777777" w:rsidR="006E20DA" w:rsidRDefault="00000000">
            <w:r>
              <w:rPr>
                <w:color w:val="000000"/>
                <w:sz w:val="20"/>
                <w:szCs w:val="20"/>
              </w:rPr>
              <w:t>RF05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7E557" w14:textId="77777777" w:rsidR="006E20DA" w:rsidRDefault="00000000">
            <w:r>
              <w:rPr>
                <w:color w:val="000000"/>
                <w:sz w:val="20"/>
                <w:szCs w:val="20"/>
              </w:rPr>
              <w:t>O sistema deve manter as telas de CRUD tradicionais disponíveis como via alternativa de operação.</w:t>
            </w:r>
          </w:p>
        </w:tc>
      </w:tr>
      <w:tr w:rsidR="006E20DA" w14:paraId="423B76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09E37" w14:textId="77777777" w:rsidR="006E20DA" w:rsidRDefault="00000000">
            <w:r>
              <w:rPr>
                <w:color w:val="000000"/>
                <w:sz w:val="20"/>
                <w:szCs w:val="20"/>
              </w:rPr>
              <w:t>RF06</w:t>
            </w:r>
          </w:p>
        </w:tc>
        <w:tc>
          <w:tcPr>
            <w:tcW w:w="77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24C72" w14:textId="77777777" w:rsidR="006E20DA" w:rsidRDefault="00000000">
            <w:r>
              <w:rPr>
                <w:color w:val="000000"/>
                <w:sz w:val="20"/>
                <w:szCs w:val="20"/>
              </w:rPr>
              <w:t>O sistema deve registrar em log toda ação executada, cancelada ou negada pela camada de IA, com autor, ferramenta, parâmetros e horário.</w:t>
            </w:r>
          </w:p>
        </w:tc>
      </w:tr>
      <w:tr w:rsidR="006E20DA" w14:paraId="2AECFE5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027FF" w14:textId="77777777" w:rsidR="006E20DA" w:rsidRDefault="00000000">
            <w:r>
              <w:rPr>
                <w:color w:val="000000"/>
                <w:sz w:val="20"/>
                <w:szCs w:val="20"/>
              </w:rPr>
              <w:t>RF07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B5446" w14:textId="77777777" w:rsidR="006E20DA" w:rsidRDefault="00000000">
            <w:r>
              <w:rPr>
                <w:color w:val="000000"/>
                <w:sz w:val="20"/>
                <w:szCs w:val="20"/>
              </w:rPr>
              <w:t>O sistema deve permitir consulta e filtragem do log de auditoria pelos usuários autorizados.</w:t>
            </w:r>
          </w:p>
        </w:tc>
      </w:tr>
    </w:tbl>
    <w:p w14:paraId="60E5FB49" w14:textId="77777777" w:rsidR="006E20DA" w:rsidRDefault="00000000">
      <w:pPr>
        <w:pStyle w:val="Ttulo2"/>
      </w:pPr>
      <w:r>
        <w:t>8.2 Requisitos não-funcionais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00"/>
      </w:tblGrid>
      <w:tr w:rsidR="006E20DA" w14:paraId="1C621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61BBF" w14:textId="77777777" w:rsidR="006E20D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700" w:type="dxa"/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374BC" w14:textId="77777777" w:rsidR="006E20D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6E20DA" w14:paraId="5D91A58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5A756" w14:textId="77777777" w:rsidR="006E20DA" w:rsidRDefault="00000000">
            <w:r>
              <w:rPr>
                <w:color w:val="000000"/>
                <w:sz w:val="20"/>
                <w:szCs w:val="20"/>
              </w:rPr>
              <w:t>RNF01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917710" w14:textId="77777777" w:rsidR="006E20DA" w:rsidRDefault="00000000">
            <w:r>
              <w:rPr>
                <w:color w:val="000000"/>
                <w:sz w:val="20"/>
                <w:szCs w:val="20"/>
              </w:rPr>
              <w:t>O controle de acesso por papel (RBAC) deve ser aplicado às ferramentas que a IA pode invocar, não apenas às telas do sistema.</w:t>
            </w:r>
          </w:p>
        </w:tc>
      </w:tr>
      <w:tr w:rsidR="006E20DA" w14:paraId="0A45B6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76071" w14:textId="77777777" w:rsidR="006E20DA" w:rsidRDefault="00000000">
            <w:r>
              <w:rPr>
                <w:color w:val="000000"/>
                <w:sz w:val="20"/>
                <w:szCs w:val="20"/>
              </w:rPr>
              <w:t>RNF02</w:t>
            </w:r>
          </w:p>
        </w:tc>
        <w:tc>
          <w:tcPr>
            <w:tcW w:w="77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B9E53" w14:textId="77777777" w:rsidR="006E20DA" w:rsidRDefault="00000000">
            <w:r>
              <w:rPr>
                <w:color w:val="000000"/>
                <w:sz w:val="20"/>
                <w:szCs w:val="20"/>
              </w:rPr>
              <w:t>Toda operação de escrita (criação, edição ou exclusão de dados) deve exigir confirmação humana explícita antes da execução.</w:t>
            </w:r>
          </w:p>
        </w:tc>
      </w:tr>
      <w:tr w:rsidR="006E20DA" w14:paraId="1A364DD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0294F" w14:textId="77777777" w:rsidR="006E20DA" w:rsidRDefault="00000000">
            <w:r>
              <w:rPr>
                <w:color w:val="000000"/>
                <w:sz w:val="20"/>
                <w:szCs w:val="20"/>
              </w:rPr>
              <w:t>RNF03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D7B76" w14:textId="77777777" w:rsidR="006E20DA" w:rsidRDefault="00000000">
            <w:r>
              <w:rPr>
                <w:color w:val="000000"/>
                <w:sz w:val="20"/>
                <w:szCs w:val="20"/>
              </w:rPr>
              <w:t xml:space="preserve">A validação de dados deve ocorrer exclusivamente no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Form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independentemente </w:t>
            </w:r>
            <w:proofErr w:type="gramStart"/>
            <w:r>
              <w:rPr>
                <w:color w:val="000000"/>
                <w:sz w:val="20"/>
                <w:szCs w:val="20"/>
              </w:rPr>
              <w:t>da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entrada ter sido processada pela IA.</w:t>
            </w:r>
          </w:p>
        </w:tc>
      </w:tr>
      <w:tr w:rsidR="006E20DA" w14:paraId="67E125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3E647" w14:textId="77777777" w:rsidR="006E20DA" w:rsidRDefault="00000000">
            <w:r>
              <w:rPr>
                <w:color w:val="000000"/>
                <w:sz w:val="20"/>
                <w:szCs w:val="20"/>
              </w:rPr>
              <w:t>RNF04</w:t>
            </w:r>
          </w:p>
        </w:tc>
        <w:tc>
          <w:tcPr>
            <w:tcW w:w="77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5F0BC" w14:textId="77777777" w:rsidR="006E20DA" w:rsidRDefault="00000000">
            <w:r>
              <w:rPr>
                <w:color w:val="000000"/>
                <w:sz w:val="20"/>
                <w:szCs w:val="20"/>
              </w:rPr>
              <w:t>O tempo de resposta de uma interação típica deve ser mensurável e mantido dentro de um limite aceitável (referência inicial: até 10 segundos).</w:t>
            </w:r>
          </w:p>
        </w:tc>
      </w:tr>
      <w:tr w:rsidR="006E20DA" w14:paraId="4A53F6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9CA52" w14:textId="77777777" w:rsidR="006E20DA" w:rsidRDefault="00000000">
            <w:r>
              <w:rPr>
                <w:color w:val="000000"/>
                <w:sz w:val="20"/>
                <w:szCs w:val="20"/>
              </w:rPr>
              <w:t>RNF05</w:t>
            </w:r>
          </w:p>
        </w:tc>
        <w:tc>
          <w:tcPr>
            <w:tcW w:w="7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38CF9" w14:textId="77777777" w:rsidR="006E20DA" w:rsidRDefault="00000000">
            <w:r>
              <w:rPr>
                <w:color w:val="000000"/>
                <w:sz w:val="20"/>
                <w:szCs w:val="20"/>
              </w:rPr>
              <w:t>O sistema deve degradar graciosamente: em caso de indisponibilidade da API de IA, o CRUD tradicional deve continuar plenamente operável.</w:t>
            </w:r>
          </w:p>
        </w:tc>
      </w:tr>
      <w:tr w:rsidR="006E20DA" w14:paraId="777AA04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3DE92" w14:textId="77777777" w:rsidR="006E20DA" w:rsidRDefault="00000000">
            <w:r>
              <w:rPr>
                <w:color w:val="000000"/>
                <w:sz w:val="20"/>
                <w:szCs w:val="20"/>
              </w:rPr>
              <w:t>RNF06</w:t>
            </w:r>
          </w:p>
        </w:tc>
        <w:tc>
          <w:tcPr>
            <w:tcW w:w="77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E539F" w14:textId="77777777" w:rsidR="006E20DA" w:rsidRDefault="00000000">
            <w:r>
              <w:rPr>
                <w:color w:val="000000"/>
                <w:sz w:val="20"/>
                <w:szCs w:val="20"/>
              </w:rPr>
              <w:t xml:space="preserve">O isolamento de dados entre </w:t>
            </w:r>
            <w:proofErr w:type="spellStart"/>
            <w:r>
              <w:rPr>
                <w:color w:val="000000"/>
                <w:sz w:val="20"/>
                <w:szCs w:val="20"/>
              </w:rPr>
              <w:t>tenants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deve ser garantido em todas as camadas, inclusive nas ferramentas expostas à IA.</w:t>
            </w:r>
          </w:p>
        </w:tc>
      </w:tr>
    </w:tbl>
    <w:p w14:paraId="366483E3" w14:textId="77777777" w:rsidR="006E20DA" w:rsidRDefault="00000000">
      <w:pPr>
        <w:pStyle w:val="Ttulo1"/>
      </w:pPr>
      <w:r>
        <w:t>9. Limitações reconhecidas</w:t>
      </w:r>
    </w:p>
    <w:p w14:paraId="4924741B" w14:textId="77777777" w:rsidR="006E20DA" w:rsidRDefault="00000000">
      <w:pPr>
        <w:spacing w:after="200" w:line="300" w:lineRule="auto"/>
      </w:pPr>
      <w:r>
        <w:t>A declaração explícita de limitações é parte da maturidade metodológica do projeto e antecipa questionamentos previsíveis da banca avaliadora.</w:t>
      </w:r>
    </w:p>
    <w:p w14:paraId="16870514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Dependência de conectividade e de serviço de terceiros: o sistema depende de disponibilidade da API do provedor de LLM escolhido. Essa dependência é parcialmente mitigada (ver seção 3.3): falhas pontuais da API de IA são absorvidas por uma fila local de comandos com reprocessamento automático e nova confirmação ao reconectar, enquanto o CRUD tradicional permanece disponível. </w:t>
      </w:r>
      <w:r>
        <w:lastRenderedPageBreak/>
        <w:t>A ausência total de conectividade do dispositivo, porém, não é coberta pelo protótipo — resolvê-la exigiria arquitetura PWA ou aplicativo nativo com banco local, registrado como trabalho futuro.</w:t>
      </w:r>
    </w:p>
    <w:p w14:paraId="54DA9EDD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Latência: usuários experientes em um domínio podem perceber o comando em linguagem natural como mais lento que o clique direto em uma ação já memorizada.</w:t>
      </w:r>
    </w:p>
    <w:p w14:paraId="620D72E1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Interpretação ambígua: comandos mal formulados podem gerar interpretação incorreta pela IA — mitigado pela exigência de confirmação em toda escrita, mas não eliminado em leituras.</w:t>
      </w:r>
    </w:p>
    <w:p w14:paraId="38FCFF79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Custo variável por uso: cada interação com a API tem custo monetário associado, ainda que baixo, o que difere do custo fixo de um CRUD tradicional.</w:t>
      </w:r>
    </w:p>
    <w:p w14:paraId="5CE1A7B6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Fadiga de confirmação: conforme detalhado na predição 6.6, o risco de confirmação automática sem revisão tende a crescer com o tempo de uso e exige desenho de fricção proporcional ao risco da ação.</w:t>
      </w:r>
    </w:p>
    <w:p w14:paraId="57EBDA64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Escopo de protótipo acadêmico: o sistema não implementa </w:t>
      </w:r>
      <w:proofErr w:type="spellStart"/>
      <w:r>
        <w:t>hardening</w:t>
      </w:r>
      <w:proofErr w:type="spellEnd"/>
      <w:r>
        <w:t xml:space="preserve"> de produção (ex.: rate </w:t>
      </w:r>
      <w:proofErr w:type="spellStart"/>
      <w:r>
        <w:t>limiting</w:t>
      </w:r>
      <w:proofErr w:type="spellEnd"/>
      <w:r>
        <w:t xml:space="preserve"> avançado, </w:t>
      </w:r>
      <w:proofErr w:type="spellStart"/>
      <w:r>
        <w:t>observabilidade</w:t>
      </w:r>
      <w:proofErr w:type="spellEnd"/>
      <w:r>
        <w:t xml:space="preserve"> completa, filas assíncronas), por não ser esse o objetivo do TCC.</w:t>
      </w:r>
    </w:p>
    <w:p w14:paraId="0E26100A" w14:textId="77777777" w:rsidR="006E20DA" w:rsidRDefault="00000000">
      <w:pPr>
        <w:pStyle w:val="Ttulo1"/>
      </w:pPr>
      <w:r>
        <w:t>10. Próximos passos</w:t>
      </w:r>
    </w:p>
    <w:p w14:paraId="6541FDB6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Definição, em reunião de equipe, do domínio de aplicação do protótipo (manutenção, confecção, escolar ou outro), a partir dos critérios: maturidade do código-base a ser reaproveitado, força dos exemplos de comando para demonstração, e clareza de justificativa da persona perante a banca.</w:t>
      </w:r>
    </w:p>
    <w:p w14:paraId="2FAF2428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Revisão do nome do projeto à luz do novo escopo, se a equipe considerar pertinente.</w:t>
      </w:r>
    </w:p>
    <w:p w14:paraId="6D0AE1BA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Detalhamento da modelagem de dados e do catálogo de ferramentas (tools) por domínio escolhido.</w:t>
      </w:r>
    </w:p>
    <w:p w14:paraId="55829C8C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Evolução do protótipo </w:t>
      </w:r>
      <w:proofErr w:type="spellStart"/>
      <w:r>
        <w:t>Figma</w:t>
      </w:r>
      <w:proofErr w:type="spellEnd"/>
      <w:r>
        <w:t xml:space="preserve"> para alta fidelidade, incorporando o feedback do orientador.</w:t>
      </w:r>
    </w:p>
    <w:p w14:paraId="0EBC89FE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Definição de cronograma de sprints para a fase de desenvolvimento, seguindo o padrão de planejamento já utilizado nos protótipos anteriores da equipe (GMP, Confecção TA).</w:t>
      </w:r>
    </w:p>
    <w:p w14:paraId="720694A9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Avaliação de uma camada offline-</w:t>
      </w:r>
      <w:proofErr w:type="spellStart"/>
      <w:r>
        <w:t>first</w:t>
      </w:r>
      <w:proofErr w:type="spellEnd"/>
      <w:r>
        <w:t xml:space="preserve"> plena (PWA com Service </w:t>
      </w:r>
      <w:proofErr w:type="spellStart"/>
      <w:r>
        <w:t>Worker</w:t>
      </w:r>
      <w:proofErr w:type="spellEnd"/>
      <w:r>
        <w:t xml:space="preserve"> e </w:t>
      </w:r>
      <w:proofErr w:type="spellStart"/>
      <w:r>
        <w:t>IndexedDB</w:t>
      </w:r>
      <w:proofErr w:type="spellEnd"/>
      <w:r>
        <w:t xml:space="preserve">, ou aplicativo nativo com banco local) para cobrir o cenário de ausência total de conectividade, tomando como referência a arquitetura já validada pela equipe no protótipo </w:t>
      </w:r>
      <w:proofErr w:type="spellStart"/>
      <w:r>
        <w:t>Flutter</w:t>
      </w:r>
      <w:proofErr w:type="spellEnd"/>
      <w:r>
        <w:t xml:space="preserve"> do SENAI GMP.</w:t>
      </w:r>
    </w:p>
    <w:p w14:paraId="01820ADD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>Entrada de comandos por voz, dada a familiaridade do público-alvo com áudios de WhatsApp (predição 6.4).</w:t>
      </w:r>
    </w:p>
    <w:p w14:paraId="74E77050" w14:textId="77777777" w:rsidR="006E20DA" w:rsidRPr="0074250E" w:rsidRDefault="00000000">
      <w:pPr>
        <w:pStyle w:val="Ttulo1"/>
        <w:rPr>
          <w:lang w:val="en-US"/>
        </w:rPr>
      </w:pPr>
      <w:proofErr w:type="spellStart"/>
      <w:r w:rsidRPr="0074250E">
        <w:rPr>
          <w:lang w:val="en-US"/>
        </w:rPr>
        <w:t>Referências</w:t>
      </w:r>
      <w:proofErr w:type="spellEnd"/>
    </w:p>
    <w:p w14:paraId="6DCC9776" w14:textId="77777777" w:rsidR="006E20DA" w:rsidRPr="0074250E" w:rsidRDefault="00000000">
      <w:pPr>
        <w:spacing w:after="200" w:line="300" w:lineRule="auto"/>
        <w:rPr>
          <w:lang w:val="en-US"/>
        </w:rPr>
      </w:pPr>
      <w:r w:rsidRPr="0074250E">
        <w:rPr>
          <w:lang w:val="en-US"/>
        </w:rPr>
        <w:t>NIELSEN, J. AI as a Paradigm Shift in User Interfaces. Nielsen Norman Group, 2023.</w:t>
      </w:r>
    </w:p>
    <w:p w14:paraId="5CDB6C8C" w14:textId="77777777" w:rsidR="006E20DA" w:rsidRPr="0074250E" w:rsidRDefault="00000000">
      <w:pPr>
        <w:spacing w:after="200" w:line="300" w:lineRule="auto"/>
        <w:rPr>
          <w:lang w:val="en-US"/>
        </w:rPr>
      </w:pPr>
      <w:r w:rsidRPr="0074250E">
        <w:rPr>
          <w:lang w:val="en-US"/>
        </w:rPr>
        <w:t xml:space="preserve">YAO, S. et al. </w:t>
      </w:r>
      <w:proofErr w:type="spellStart"/>
      <w:r w:rsidRPr="0074250E">
        <w:rPr>
          <w:lang w:val="en-US"/>
        </w:rPr>
        <w:t>ReAct</w:t>
      </w:r>
      <w:proofErr w:type="spellEnd"/>
      <w:r w:rsidRPr="0074250E">
        <w:rPr>
          <w:lang w:val="en-US"/>
        </w:rPr>
        <w:t>: Synergizing Reasoning and Acting in Language Models. arXiv:2210.03629, 2022.</w:t>
      </w:r>
    </w:p>
    <w:p w14:paraId="68E0193D" w14:textId="77777777" w:rsidR="006E20DA" w:rsidRDefault="00000000">
      <w:pPr>
        <w:spacing w:after="200" w:line="300" w:lineRule="auto"/>
      </w:pPr>
      <w:r>
        <w:t>SEBRAE. Mapa de Empresas — 2º quadrimestre de 2025. Ministério do Empreendedorismo, da Microempresa e da Empresa de Pequeno Porte, 2025.</w:t>
      </w:r>
    </w:p>
    <w:p w14:paraId="783525F4" w14:textId="77777777" w:rsidR="006E20DA" w:rsidRDefault="00000000">
      <w:pPr>
        <w:spacing w:after="200" w:line="300" w:lineRule="auto"/>
      </w:pPr>
      <w:r>
        <w:t>SEBRAE. Pesquisa TIC 2025 — Transformação Digital nos Pequenos Negócios. Sebrae/PR, 2025.</w:t>
      </w:r>
    </w:p>
    <w:p w14:paraId="29FDF7F4" w14:textId="77777777" w:rsidR="006E20DA" w:rsidRDefault="00000000">
      <w:pPr>
        <w:spacing w:after="200" w:line="300" w:lineRule="auto"/>
      </w:pPr>
      <w:r>
        <w:t>SEBRAE. Pesquisa de Maturidade Digital dos Pequenos Negócios no Brasil. Sebrae/PR, 2024–2025.</w:t>
      </w:r>
    </w:p>
    <w:p w14:paraId="0F1E1E4A" w14:textId="77777777" w:rsidR="006E20DA" w:rsidRPr="0074250E" w:rsidRDefault="00000000">
      <w:pPr>
        <w:spacing w:after="200" w:line="300" w:lineRule="auto"/>
        <w:rPr>
          <w:lang w:val="en-US"/>
        </w:rPr>
      </w:pPr>
      <w:r w:rsidRPr="0074250E">
        <w:rPr>
          <w:lang w:val="en-US"/>
        </w:rPr>
        <w:lastRenderedPageBreak/>
        <w:t>MICROSOFT. Anomaly Detector — What's New / FAQ. Microsoft Learn, Azure AI Services, 2025–2026.</w:t>
      </w:r>
    </w:p>
    <w:sectPr w:rsidR="006E20DA" w:rsidRPr="0074250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76F4A"/>
    <w:multiLevelType w:val="hybridMultilevel"/>
    <w:tmpl w:val="3E1AD2B6"/>
    <w:lvl w:ilvl="0" w:tplc="23C837CE">
      <w:start w:val="1"/>
      <w:numFmt w:val="bullet"/>
      <w:lvlText w:val="●"/>
      <w:lvlJc w:val="left"/>
      <w:pPr>
        <w:ind w:left="720" w:hanging="360"/>
      </w:pPr>
    </w:lvl>
    <w:lvl w:ilvl="1" w:tplc="66068BF8">
      <w:start w:val="1"/>
      <w:numFmt w:val="bullet"/>
      <w:lvlText w:val="○"/>
      <w:lvlJc w:val="left"/>
      <w:pPr>
        <w:ind w:left="1440" w:hanging="360"/>
      </w:pPr>
    </w:lvl>
    <w:lvl w:ilvl="2" w:tplc="42C4A498">
      <w:start w:val="1"/>
      <w:numFmt w:val="bullet"/>
      <w:lvlText w:val="■"/>
      <w:lvlJc w:val="left"/>
      <w:pPr>
        <w:ind w:left="2160" w:hanging="360"/>
      </w:pPr>
    </w:lvl>
    <w:lvl w:ilvl="3" w:tplc="C6E860D6">
      <w:start w:val="1"/>
      <w:numFmt w:val="bullet"/>
      <w:lvlText w:val="●"/>
      <w:lvlJc w:val="left"/>
      <w:pPr>
        <w:ind w:left="2880" w:hanging="360"/>
      </w:pPr>
    </w:lvl>
    <w:lvl w:ilvl="4" w:tplc="488C9110">
      <w:start w:val="1"/>
      <w:numFmt w:val="bullet"/>
      <w:lvlText w:val="○"/>
      <w:lvlJc w:val="left"/>
      <w:pPr>
        <w:ind w:left="3600" w:hanging="360"/>
      </w:pPr>
    </w:lvl>
    <w:lvl w:ilvl="5" w:tplc="A5B0DF86">
      <w:start w:val="1"/>
      <w:numFmt w:val="bullet"/>
      <w:lvlText w:val="■"/>
      <w:lvlJc w:val="left"/>
      <w:pPr>
        <w:ind w:left="4320" w:hanging="360"/>
      </w:pPr>
    </w:lvl>
    <w:lvl w:ilvl="6" w:tplc="9E8E2A7C">
      <w:start w:val="1"/>
      <w:numFmt w:val="bullet"/>
      <w:lvlText w:val="●"/>
      <w:lvlJc w:val="left"/>
      <w:pPr>
        <w:ind w:left="5040" w:hanging="360"/>
      </w:pPr>
    </w:lvl>
    <w:lvl w:ilvl="7" w:tplc="2670F8D8">
      <w:start w:val="1"/>
      <w:numFmt w:val="bullet"/>
      <w:lvlText w:val="●"/>
      <w:lvlJc w:val="left"/>
      <w:pPr>
        <w:ind w:left="5760" w:hanging="360"/>
      </w:pPr>
    </w:lvl>
    <w:lvl w:ilvl="8" w:tplc="2EFAB2D4">
      <w:start w:val="1"/>
      <w:numFmt w:val="bullet"/>
      <w:lvlText w:val="●"/>
      <w:lvlJc w:val="left"/>
      <w:pPr>
        <w:ind w:left="6480" w:hanging="360"/>
      </w:pPr>
    </w:lvl>
  </w:abstractNum>
  <w:num w:numId="1" w16cid:durableId="1550996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DA"/>
    <w:rsid w:val="006E20DA"/>
    <w:rsid w:val="0074250E"/>
    <w:rsid w:val="0077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1F438"/>
  <w15:docId w15:val="{C21DE5D4-04A4-49F9-9A1E-F2FF2E9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6215C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2C2C2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figma.com/design/CGcy71aZf172pjjyEqimTQ/Sentinel?node-id=2-7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78EAF-DB06-41F3-89D8-CFDD0E3A0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3933</Words>
  <Characters>21244</Characters>
  <Application>Microsoft Office Word</Application>
  <DocSecurity>0</DocSecurity>
  <Lines>177</Lines>
  <Paragraphs>50</Paragraphs>
  <ScaleCrop>false</ScaleCrop>
  <Company/>
  <LinksUpToDate>false</LinksUpToDate>
  <CharactersWithSpaces>25127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TERMINIELLO</cp:lastModifiedBy>
  <cp:revision>2</cp:revision>
  <dcterms:created xsi:type="dcterms:W3CDTF">2026-08-10T19:31:00Z</dcterms:created>
  <dcterms:modified xsi:type="dcterms:W3CDTF">2026-08-10T19:52:00Z</dcterms:modified>
</cp:coreProperties>
</file>