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6aa84f"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6aa84f"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tcBorders>
              <w:bottom w:color="6aa84f" w:space="0" w:sz="4" w:val="single"/>
            </w:tcBorders>
            <w:shd w:fill="6aa84f"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tcBorders>
              <w:right w:color="6aa84f" w:space="0" w:sz="4" w:val="single"/>
            </w:tcBorders>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tcBorders>
              <w:top w:color="6aa84f" w:space="0" w:sz="4" w:val="single"/>
              <w:left w:color="6aa84f" w:space="0" w:sz="4" w:val="single"/>
              <w:bottom w:color="6aa84f" w:space="0" w:sz="4" w:val="single"/>
              <w:right w:color="6aa84f" w:space="0" w:sz="4" w:val="single"/>
            </w:tcBorders>
            <w:shd w:fill="6aa84f"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tcBorders>
              <w:left w:color="6aa84f" w:space="0" w:sz="4" w:val="single"/>
            </w:tcBorders>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tcBorders>
              <w:top w:color="6aa84f" w:space="0" w:sz="4" w:val="single"/>
            </w:tcBorders>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6aa84f" w:val="clea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rfs9/uaUSRF9oo1GXsm1epsmw==">CgMxLjA4AHIhMXFTR1A4UFlaSDdJbmd6alVXdFN4c2Jzd0VKd0hNVDJG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