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Руководство по экосистеме set</w:t>
      </w:r>
    </w:p>
    <w:p>
      <w:r>
        <w:t>Авторитетная справка, созданная из текущего исходника EA и манифеста set — EA 1.11 — 127 inputs — 3738 sets</w:t>
      </w:r>
    </w:p>
    <w:p>
      <w:pPr>
        <w:pStyle w:val="Heading2"/>
      </w:pPr>
      <w:r>
        <w:rPr>
          <w:color w:val="1E3A5F"/>
        </w:rPr>
        <w:t>Область и источники истины</w:t>
      </w:r>
    </w:p>
    <w:p>
      <w:r>
        <w:t>Исходник EA определяет inputs, значения и функции; манифест определяет каждый set, статус, путь и SHA-256. Старый Quantum-архив не является текущей документацией.</w:t>
      </w:r>
    </w:p>
    <w:p>
      <w:r>
        <w:t>EA SHA-256: D85A30A0836A9BE75F6DFC55868BDC664EE1FC7F5DD0840C029DEB0EF8AC8973. Manifest SHA-256: E96B9E4050F8EA8B764E187BD6CC1E907AE2AE8C4A6489C9EF2D3317C6003F75.</w:t>
      </w:r>
    </w:p>
    <w:p>
      <w:r>
        <w:t>Сгенерированный материал. Имена параметров точно соответствуют EA.</w:t>
      </w:r>
    </w:p>
    <w:p>
      <w:pPr>
        <w:pStyle w:val="Heading2"/>
      </w:pPr>
      <w:r>
        <w:rPr>
          <w:color w:val="1E3A5F"/>
        </w:rPr>
        <w:t>Установка и первый запуск</w:t>
      </w:r>
    </w:p>
    <w:p>
      <w:r>
        <w:t>Установите соответствующий EX5, загрузите один set в Tester Inputs, выберите точный символ и прочитайте Journal.</w:t>
      </w:r>
    </w:p>
    <w:p>
      <w:pPr>
        <w:pStyle w:val="Heading2"/>
      </w:pPr>
      <w:r>
        <w:rPr>
          <w:color w:val="1E3A5F"/>
        </w:rPr>
        <w:t>Обнаруженная библиотека set</w:t>
      </w:r>
    </w:p>
    <w:p>
      <w:r>
        <w:t>Количество читается из файлов и манифеста. Каждый set — гипотеза, а не обещание результата. Counts and fingerprints were read at generation time.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Folder</w:t>
            </w:r>
          </w:p>
        </w:tc>
        <w:tc>
          <w:tcPr>
            <w:tcW w:type="dxa" w:w="2880"/>
          </w:tcPr>
          <w:p>
            <w:r>
              <w:t>Sets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01_Forex</w:t>
            </w:r>
          </w:p>
        </w:tc>
        <w:tc>
          <w:tcPr>
            <w:tcW w:type="dxa" w:w="2880"/>
          </w:tcPr>
          <w:p>
            <w:r>
              <w:t>168</w:t>
            </w:r>
          </w:p>
        </w:tc>
        <w:tc>
          <w:tcPr>
            <w:tcW w:type="dxa" w:w="2880"/>
          </w:tcPr>
          <w:p>
            <w:r>
              <w:t>Per-asset baselines — Forex.</w:t>
            </w:r>
          </w:p>
        </w:tc>
      </w:tr>
      <w:tr>
        <w:tc>
          <w:tcPr>
            <w:tcW w:type="dxa" w:w="2880"/>
          </w:tcPr>
          <w:p>
            <w:r>
              <w:t>02_Metals</w:t>
            </w:r>
          </w:p>
        </w:tc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Per-asset baselines — Metals.</w:t>
            </w:r>
          </w:p>
        </w:tc>
      </w:tr>
      <w:tr>
        <w:tc>
          <w:tcPr>
            <w:tcW w:type="dxa" w:w="2880"/>
          </w:tcPr>
          <w:p>
            <w:r>
              <w:t>03_Cryptocurrencies</w:t>
            </w:r>
          </w:p>
        </w:tc>
        <w:tc>
          <w:tcPr>
            <w:tcW w:type="dxa" w:w="2880"/>
          </w:tcPr>
          <w:p>
            <w:r>
              <w:t>36</w:t>
            </w:r>
          </w:p>
        </w:tc>
        <w:tc>
          <w:tcPr>
            <w:tcW w:type="dxa" w:w="2880"/>
          </w:tcPr>
          <w:p>
            <w:r>
              <w:t>Per-asset baselines — Cryptocurrencies.</w:t>
            </w:r>
          </w:p>
        </w:tc>
      </w:tr>
      <w:tr>
        <w:tc>
          <w:tcPr>
            <w:tcW w:type="dxa" w:w="2880"/>
          </w:tcPr>
          <w:p>
            <w:r>
              <w:t>04_Indices_Energies</w:t>
            </w:r>
          </w:p>
        </w:tc>
        <w:tc>
          <w:tcPr>
            <w:tcW w:type="dxa" w:w="2880"/>
          </w:tcPr>
          <w:p>
            <w:r>
              <w:t>42</w:t>
            </w:r>
          </w:p>
        </w:tc>
        <w:tc>
          <w:tcPr>
            <w:tcW w:type="dxa" w:w="2880"/>
          </w:tcPr>
          <w:p>
            <w:r>
              <w:t>Per-asset baselines — Indices Energies.</w:t>
            </w:r>
          </w:p>
        </w:tc>
      </w:tr>
      <w:tr>
        <w:tc>
          <w:tcPr>
            <w:tcW w:type="dxa" w:w="2880"/>
          </w:tcPr>
          <w:p>
            <w:r>
              <w:t>05_US_Stocks_CFD</w:t>
            </w:r>
          </w:p>
        </w:tc>
        <w:tc>
          <w:tcPr>
            <w:tcW w:type="dxa" w:w="2880"/>
          </w:tcPr>
          <w:p>
            <w:r>
              <w:t>300</w:t>
            </w:r>
          </w:p>
        </w:tc>
        <w:tc>
          <w:tcPr>
            <w:tcW w:type="dxa" w:w="2880"/>
          </w:tcPr>
          <w:p>
            <w:r>
              <w:t>Per-asset baselines — US Stocks CFD.</w:t>
            </w:r>
          </w:p>
        </w:tc>
      </w:tr>
      <w:tr>
        <w:tc>
          <w:tcPr>
            <w:tcW w:type="dxa" w:w="2880"/>
          </w:tcPr>
          <w:p>
            <w:r>
              <w:t>06_Research_Matrix</w:t>
            </w:r>
          </w:p>
        </w:tc>
        <w:tc>
          <w:tcPr>
            <w:tcW w:type="dxa" w:w="2880"/>
          </w:tcPr>
          <w:p>
            <w:r>
              <w:t>935</w:t>
            </w:r>
          </w:p>
        </w:tc>
        <w:tc>
          <w:tcPr>
            <w:tcW w:type="dxa" w:w="2880"/>
          </w:tcPr>
          <w:p>
            <w:r>
              <w:t>Controlled one-axis research.</w:t>
            </w:r>
          </w:p>
        </w:tc>
      </w:tr>
      <w:tr>
        <w:tc>
          <w:tcPr>
            <w:tcW w:type="dxa" w:w="2880"/>
          </w:tcPr>
          <w:p>
            <w:r>
              <w:t>07_Entry_System_Matrix</w:t>
            </w:r>
          </w:p>
        </w:tc>
        <w:tc>
          <w:tcPr>
            <w:tcW w:type="dxa" w:w="2880"/>
          </w:tcPr>
          <w:p>
            <w:r>
              <w:t>3360</w:t>
            </w:r>
          </w:p>
        </w:tc>
        <w:tc>
          <w:tcPr>
            <w:tcW w:type="dxa" w:w="2880"/>
          </w:tcPr>
          <w:p>
            <w:r>
              <w:t>Indicator × entry method × management matrix.</w:t>
            </w:r>
          </w:p>
        </w:tc>
      </w:tr>
      <w:tr>
        <w:tc>
          <w:tcPr>
            <w:tcW w:type="dxa" w:w="2880"/>
          </w:tcPr>
          <w:p>
            <w:r>
              <w:t>08_Filter_Stack_Matrix</w:t>
            </w:r>
          </w:p>
        </w:tc>
        <w:tc>
          <w:tcPr>
            <w:tcW w:type="dxa" w:w="2880"/>
          </w:tcPr>
          <w:p>
            <w:r>
              <w:t>320</w:t>
            </w:r>
          </w:p>
        </w:tc>
        <w:tc>
          <w:tcPr>
            <w:tcW w:type="dxa" w:w="2880"/>
          </w:tcPr>
          <w:p>
            <w:r>
              <w:t>Signal-filter stack combinations.</w:t>
            </w:r>
          </w:p>
        </w:tc>
      </w:tr>
      <w:tr>
        <w:tc>
          <w:tcPr>
            <w:tcW w:type="dxa" w:w="2880"/>
          </w:tcPr>
          <w:p>
            <w:r>
              <w:t>09_Risk_Engine_Matrix</w:t>
            </w:r>
          </w:p>
        </w:tc>
        <w:tc>
          <w:tcPr>
            <w:tcW w:type="dxa" w:w="2880"/>
          </w:tcPr>
          <w:p>
            <w:r>
              <w:t>130</w:t>
            </w:r>
          </w:p>
        </w:tc>
        <w:tc>
          <w:tcPr>
            <w:tcW w:type="dxa" w:w="2880"/>
          </w:tcPr>
          <w:p>
            <w:r>
              <w:t>Compatible sizing, risk and recovery models.</w:t>
            </w:r>
          </w:p>
        </w:tc>
      </w:tr>
      <w:tr>
        <w:tc>
          <w:tcPr>
            <w:tcW w:type="dxa" w:w="2880"/>
          </w:tcPr>
          <w:p>
            <w:r>
              <w:t>10_Exit_Stack_Matrix</w:t>
            </w:r>
          </w:p>
        </w:tc>
        <w:tc>
          <w:tcPr>
            <w:tcW w:type="dxa" w:w="2880"/>
          </w:tcPr>
          <w:p>
            <w:r>
              <w:t>720</w:t>
            </w:r>
          </w:p>
        </w:tc>
        <w:tc>
          <w:tcPr>
            <w:tcW w:type="dxa" w:w="2880"/>
          </w:tcPr>
          <w:p>
            <w:r>
              <w:t>Exit-control stack combinations.</w:t>
            </w:r>
          </w:p>
        </w:tc>
      </w:tr>
    </w:tbl>
    <w:p>
      <w:pPr>
        <w:pStyle w:val="Heading2"/>
      </w:pPr>
      <w:r>
        <w:rPr>
          <w:color w:val="1E3A5F"/>
        </w:rPr>
        <w:t>Статус манифеста и решение</w:t>
      </w:r>
    </w:p>
    <w:p>
      <w:r>
        <w:t>Исходный статус сохраняется и консервативно сопоставляется с USE, REOPTIMIZE, RESEARCH или HOLD.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Система</w:t>
            </w:r>
          </w:p>
        </w:tc>
        <w:tc>
          <w:tcPr>
            <w:tcW w:type="dxa" w:w="2880"/>
          </w:tcPr>
          <w:p>
            <w:r>
              <w:t>Управление</w:t>
            </w:r>
          </w:p>
        </w:tc>
        <w:tc>
          <w:tcPr>
            <w:tcW w:type="dxa" w:w="2880"/>
          </w:tcPr>
          <w:p>
            <w:r>
              <w:t>Наборы</w:t>
            </w:r>
          </w:p>
        </w:tc>
      </w:tr>
      <w:tr>
        <w:tc>
          <w:tcPr>
            <w:tcW w:type="dxa" w:w="2880"/>
          </w:tcPr>
          <w:p>
            <w:r>
              <w:t>01_SLTP</w:t>
            </w:r>
          </w:p>
        </w:tc>
        <w:tc>
          <w:tcPr>
            <w:tcW w:type="dxa" w:w="2880"/>
          </w:tcPr>
          <w:p>
            <w:r>
              <w:t>Stop Loss + Take Profit as ATR multiples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02_SLTP_ORGANIC</w:t>
            </w:r>
          </w:p>
        </w:tc>
        <w:tc>
          <w:tcPr>
            <w:tcW w:type="dxa" w:w="2880"/>
          </w:tcPr>
          <w:p>
            <w:r>
              <w:t>SL + organic take anchored on the last trade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03_TRAIL_ONLY</w:t>
            </w:r>
          </w:p>
        </w:tc>
        <w:tc>
          <w:tcPr>
            <w:tcW w:type="dxa" w:w="2880"/>
          </w:tcPr>
          <w:p>
            <w:r>
              <w:t>SL + trailing, no TP: let it run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04_SLTP_TRAIL</w:t>
            </w:r>
          </w:p>
        </w:tc>
        <w:tc>
          <w:tcPr>
            <w:tcW w:type="dxa" w:w="2880"/>
          </w:tcPr>
          <w:p>
            <w:r>
              <w:t>SL + TP + trailing behind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05_BE_TRAIL</w:t>
            </w:r>
          </w:p>
        </w:tc>
        <w:tc>
          <w:tcPr>
            <w:tcW w:type="dxa" w:w="2880"/>
          </w:tcPr>
          <w:p>
            <w:r>
              <w:t>Mandatory breakeven + trailing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06_REVERSAL_EXIT</w:t>
            </w:r>
          </w:p>
        </w:tc>
        <w:tc>
          <w:tcPr>
            <w:tcW w:type="dxa" w:w="2880"/>
          </w:tcPr>
          <w:p>
            <w:r>
              <w:t>Closes on the indicator's opposite signal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07_GRID_SEPARATE</w:t>
            </w:r>
          </w:p>
        </w:tc>
        <w:tc>
          <w:tcPr>
            <w:tcW w:type="dxa" w:w="2880"/>
          </w:tcPr>
          <w:p>
            <w:r>
              <w:t>Grid with a target per side (hedging account)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08_GRID_UNIFIED</w:t>
            </w:r>
          </w:p>
        </w:tc>
        <w:tc>
          <w:tcPr>
            <w:tcW w:type="dxa" w:w="2880"/>
          </w:tcPr>
          <w:p>
            <w:r>
              <w:t>Grid with a single basket target (hedging account)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09_MARTINGALE</w:t>
            </w:r>
          </w:p>
        </w:tc>
        <w:tc>
          <w:tcPr>
            <w:tcW w:type="dxa" w:w="2880"/>
          </w:tcPr>
          <w:p>
            <w:r>
              <w:t>Lot doubles after a loss, one position per side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10_DALEMBERT</w:t>
            </w:r>
          </w:p>
        </w:tc>
        <w:tc>
          <w:tcPr>
            <w:tcW w:type="dxa" w:w="2880"/>
          </w:tcPr>
          <w:p>
            <w:r>
              <w:t>Lot grows in arithmetic steps after a loss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11_SIGNAL_ONLY</w:t>
            </w:r>
          </w:p>
        </w:tc>
        <w:tc>
          <w:tcPr>
            <w:tcW w:type="dxa" w:w="2880"/>
          </w:tcPr>
          <w:p>
            <w:r>
              <w:t>No SL and no TP: measures the raw signal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</w:tbl>
    <w:p>
      <w:pPr>
        <w:pStyle w:val="Heading2"/>
      </w:pPr>
      <w:r>
        <w:rPr>
          <w:color w:val="1E3A5F"/>
        </w:rPr>
        <w:t>Безопасный процесс</w:t>
      </w:r>
    </w:p>
    <w:p>
      <w:r>
        <w:t>Меняйте только одну матрицу за этап и сохраняйте доказательства решения.</w:t>
      </w:r>
    </w:p>
    <w:p>
      <w:pPr>
        <w:pStyle w:val="ListBullet"/>
      </w:pPr>
      <w:r>
        <w:t>Сверьте версии EX5, исходника, schema set и манифеста.</w:t>
      </w:r>
    </w:p>
    <w:p>
      <w:pPr>
        <w:pStyle w:val="ListBullet"/>
      </w:pPr>
      <w:r>
        <w:t>Загрузите библиотеку через Strategy Tester Inputs.</w:t>
      </w:r>
    </w:p>
    <w:p>
      <w:pPr>
        <w:pStyle w:val="ListBullet"/>
      </w:pPr>
      <w:r>
        <w:t>Сопоставьте точный символ и suffix брокера.</w:t>
      </w:r>
    </w:p>
    <w:p>
      <w:pPr>
        <w:pStyle w:val="ListBullet"/>
      </w:pPr>
      <w:r>
        <w:t>Начните с baseline 01–05 и тестируйте BUY/SELL отдельно.</w:t>
      </w:r>
    </w:p>
    <w:p>
      <w:pPr>
        <w:pStyle w:val="ListBullet"/>
      </w:pPr>
      <w:r>
        <w:t>Папка 06 — одноосевое исследование.</w:t>
      </w:r>
    </w:p>
    <w:p>
      <w:pPr>
        <w:pStyle w:val="ListBullet"/>
      </w:pPr>
      <w:r>
        <w:t>Папка 07 — система входа, 08 — фильтры, 09 — риск, 10 — выход.</w:t>
      </w:r>
    </w:p>
    <w:p>
      <w:pPr>
        <w:pStyle w:val="ListBullet"/>
      </w:pPr>
      <w:r>
        <w:t>Проводите хронологические IS, OOS и forward-demo тесты.</w:t>
      </w:r>
    </w:p>
    <w:p>
      <w:pPr>
        <w:pStyle w:val="ListBullet"/>
      </w:pPr>
      <w:r>
        <w:t>Проверяйте Status, RelativePath и SHA256.</w:t>
      </w:r>
    </w:p>
    <w:p>
      <w:pPr>
        <w:pStyle w:val="ListBullet"/>
      </w:pPr>
      <w:r>
        <w:t>Только явный USE означает готовность для указанной среды.</w:t>
      </w:r>
    </w:p>
    <w:p>
      <w:pPr>
        <w:pStyle w:val="Heading2"/>
      </w:pPr>
      <w:r>
        <w:rPr>
          <w:color w:val="1E3A5F"/>
        </w:rPr>
        <w:t>Телеметрия циклов на панели</w:t>
      </w:r>
    </w:p>
    <w:p>
      <w:r>
        <w:t>Панель использует те же снимки состояния, что расчёт лота и закрытие корзины.</w:t>
      </w:r>
    </w:p>
    <w:p>
      <w:pPr>
        <w:pStyle w:val="ListBullet"/>
      </w:pPr>
      <w:r>
        <w:t>Периодическое обновление по тику ограничено одним разом в секунду; запуск и торговые события могут обновить панель сразу.</w:t>
      </w:r>
    </w:p>
    <w:p>
      <w:pPr>
        <w:pStyle w:val="ListBullet"/>
      </w:pPr>
      <w:r>
        <w:t>Balance и Equity относятся ко всему счёту. Закрытый P&amp;L — изменение с OnInit; открытый P&amp;L и позиции — текущее состояние, отфильтрованное по Symbol + Magic.</w:t>
      </w:r>
    </w:p>
    <w:p>
      <w:pPr>
        <w:pStyle w:val="ListBullet"/>
      </w:pPr>
      <w:r>
        <w:t>Martingale отдельно для BUY/SELL показывает последовательные убытки, число и сумму убытков цикла, recovered, deficit и target = deficit × Multiplicador.</w:t>
      </w:r>
    </w:p>
    <w:p>
      <w:pPr>
        <w:pStyle w:val="ListBullet"/>
      </w:pPr>
      <w:r>
        <w:t>При превышении MaxMartingaleSteps выполняется hard reset: старый дефицит удаляется, следующая сделка использует базовый лот. Разрешена максимум одна открытая позиция на сторону.</w:t>
      </w:r>
    </w:p>
    <w:p>
      <w:pPr>
        <w:pStyle w:val="ListBullet"/>
      </w:pPr>
      <w:r>
        <w:t>D'Alembert показывает текущий уровень и следующий нормализованный лот BUY/SELL.</w:t>
      </w:r>
    </w:p>
    <w:p>
      <w:pPr>
        <w:pStyle w:val="ListBullet"/>
      </w:pPr>
      <w:r>
        <w:t>Grid показывает legs/volume, realized с затратами, open P&amp;L, cycle P&amp;L, замороженную при старте цель и remaining.</w:t>
      </w:r>
    </w:p>
    <w:p>
      <w:pPr>
        <w:pStyle w:val="ListBullet"/>
      </w:pPr>
      <w:r>
        <w:t>Anchor — последняя подтверждённая позиция. BUY требует строго меньше anchor − ATR × DistanciaMinima, SELL — строго больше anchor + ATR × DistanciaMinima; прогресс выражен в ATR.</w:t>
      </w:r>
    </w:p>
    <w:p>
      <w:pPr>
        <w:pStyle w:val="ListBullet"/>
      </w:pPr>
      <w:r>
        <w:t>Separate завершает цикл только ставшей flat стороны; Unified — когда flat обе стороны. Активная заявка задерживает reset.</w:t>
      </w:r>
    </w:p>
    <w:p>
      <w:pPr>
        <w:pStyle w:val="ListBullet"/>
      </w:pPr>
      <w:r>
        <w:t>Target запускает закрытие; фактические commission, fee и slippage выхода могут оставить итог немного ниже цели.</w:t>
      </w:r>
    </w:p>
    <w:p>
      <w:pPr>
        <w:pStyle w:val="ListBullet"/>
      </w:pPr>
      <w:r>
        <w:t>InterfaceLanguage сохраняет 11 языков. Auto использует English в Tester и язык терминала live; отсутствующий перевод label заменяется English.</w:t>
      </w:r>
    </w:p>
    <w:p>
      <w:pPr>
        <w:pStyle w:val="Heading2"/>
      </w:pPr>
      <w:r>
        <w:rPr>
          <w:color w:val="1E3A5F"/>
        </w:rPr>
        <w:t>Совместимость и ограничения</w:t>
      </w:r>
    </w:p>
    <w:p>
      <w:r>
        <w:t>Правила консервативны; брокер может применять более строгие ограничения.</w:t>
      </w:r>
    </w:p>
    <w:p>
      <w:pPr>
        <w:pStyle w:val="ListBullet"/>
      </w:pPr>
      <w:r>
        <w:t>Percentage и Fixed-R требуют AtivarStop=true.</w:t>
      </w:r>
    </w:p>
    <w:p>
      <w:pPr>
        <w:pStyle w:val="ListBullet"/>
      </w:pPr>
      <w:r>
        <w:t>Grid: только Monetary/Fixed Lot, Recovery_None и hedging account.</w:t>
      </w:r>
    </w:p>
    <w:p>
      <w:pPr>
        <w:pStyle w:val="ListBullet"/>
      </w:pPr>
      <w:r>
        <w:t>Grid требует take, положительный DistanciaMinima и минимум две позиции активной стороны.</w:t>
      </w:r>
    </w:p>
    <w:p>
      <w:pPr>
        <w:pStyle w:val="ListBullet"/>
      </w:pPr>
      <w:r>
        <w:t>Пока корзина открыта, реализованные убытки, swap, commission и fees цикла остаются в результате, необходимом для достижения цели; прибыль одной позиции их не обнуляет.</w:t>
      </w:r>
    </w:p>
    <w:p>
      <w:pPr>
        <w:pStyle w:val="ListBullet"/>
      </w:pPr>
      <w:r>
        <w:t>В Grid_SeparateProfit циклы BUY и SELL независимы. Если все позиции одной стороны исчезли, её цикл завершён; следующий вход начинает новый цикл без переноса закрытого дефицита.</w:t>
      </w:r>
    </w:p>
    <w:p>
      <w:pPr>
        <w:pStyle w:val="ListBullet"/>
      </w:pPr>
      <w:r>
        <w:t>D'Alembert: Fixed Lot, Grid_Disabled и DAlembertStep&gt;0.</w:t>
      </w:r>
    </w:p>
    <w:p>
      <w:pPr>
        <w:pStyle w:val="ListBullet"/>
      </w:pPr>
      <w:r>
        <w:t>Martingale ограничивается MaxMartingaleSteps и MaxMartingaleLot.</w:t>
      </w:r>
    </w:p>
    <w:p>
      <w:pPr>
        <w:pStyle w:val="ListBullet"/>
      </w:pPr>
      <w:r>
        <w:t>OnOppositeOrder требует hedging, обе стороны и отключённый grid.</w:t>
      </w:r>
    </w:p>
    <w:p>
      <w:pPr>
        <w:pStyle w:val="ListBullet"/>
      </w:pPr>
      <w:r>
        <w:t>News backtest требует CSV в Common\Files.</w:t>
      </w:r>
    </w:p>
    <w:p>
      <w:pPr>
        <w:pStyle w:val="ListBullet"/>
      </w:pPr>
      <w:r>
        <w:t>Расписание использует серверное время брокера.</w:t>
      </w:r>
    </w:p>
    <w:p>
      <w:pPr>
        <w:pStyle w:val="ListBullet"/>
      </w:pPr>
      <w:r>
        <w:t>Проверяйте suffix и спецификацию символа.</w:t>
      </w:r>
    </w:p>
    <w:p>
      <w:pPr>
        <w:pStyle w:val="Heading2"/>
      </w:pPr>
      <w:r>
        <w:rPr>
          <w:color w:val="1E3A5F"/>
        </w:rPr>
        <w:t>News filter and CSV workflow</w:t>
      </w:r>
    </w:p>
    <w:p>
      <w:r>
        <w:t>Live mode reads the MT5 Economic Calendar in broker-server time and blocks new entries if the calendar query fails. Backtests cannot read that live calendar: run MQL5\Scripts\White Rabbit News Exporter on a live/demo chart, cover the entire test interval, and write NewsCSVFile to the terminal Common\Files folder. The semicolon-delimited header is datetime;currency;importance;event_name, where importance 2 is moderate and 3 is high. Use the same broker/server timezone; for suffixed or non-FX symbols set ExportMoedas and NewsMoedasManual explicitly. Manual currencies take precedence over automatic symbol parsing.</w:t>
      </w:r>
    </w:p>
    <w:p>
      <w:pPr>
        <w:pStyle w:val="Heading2"/>
      </w:pPr>
      <w:r>
        <w:rPr>
          <w:color w:val="1E3A5F"/>
        </w:rPr>
        <w:t>Grid cycle and ATR spacing</w:t>
      </w:r>
    </w:p>
    <w:p>
      <w:r>
        <w:t>Every additional grid leg is measured from the newest already-confirmed position on that side and must satisfy ATR × DistanciaMinima. The initial order cannot recursively trigger another leg in the same calculation event; it becomes the anchor on the following cycle. Individual grid take-profits are disabled: Separate mode evaluates independent BUY/SELL cycles against frozen monetary targets and ends a side when it becomes flat; Unified evaluates the aggregate BUY+SELL basket and ends when both sides are flat. Realized commissions, swap, fees and stopped legs remain in the result while the corresponding cycle is open. The target triggers a close request, so actual exit costs and slippage can leave the final result slightly below it. Live cycle state is persisted across an EA restart. Grid is hedging-only and must be reoptimized after any EA, broker-contract or cost change.</w:t>
      </w:r>
    </w:p>
    <w:p>
      <w:pPr>
        <w:pStyle w:val="Heading2"/>
      </w:pPr>
      <w:r>
        <w:rPr>
          <w:color w:val="1E3A5F"/>
        </w:rPr>
        <w:t>Diagnostics and supplied utilities</w:t>
      </w:r>
    </w:p>
    <w:p>
      <w:r>
        <w:t>The Experts/Journal tab is authoritative for rejected inputs, OrderCheck failures, news-calendar errors and close retries. Compile and run MQL5\Scripts\WhiteRabbit Filters SelfTest; its final line must report zero failures. Use White Rabbit News Exporter to build the test CSV, then verify its date range, currencies, delimiter and Common\Files location before a news-enabled backtest.</w:t>
      </w:r>
    </w:p>
    <w:p>
      <w:pPr>
        <w:pStyle w:val="Heading2"/>
      </w:pPr>
      <w:r>
        <w:rPr>
          <w:color w:val="1E3A5F"/>
        </w:rPr>
        <w:t>Предупреждение о риске</w:t>
      </w:r>
    </w:p>
    <w:p>
      <w:r>
        <w:t>EA, set и исторические результаты не гарантируют будущую доходность. Проверяйте OOS и demo.</w:t>
      </w:r>
    </w:p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