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WFO 优化指南</w:t>
      </w:r>
    </w:p>
    <w:p>
      <w:r>
        <w:t>依据当前 EA 源码与 set 清单生成的权威参考 — EA 1.11 — 127 inputs — 3738 sets</w:t>
      </w:r>
    </w:p>
    <w:p>
      <w:r>
        <w:t>注意日期。 启用 WFO 后，OnTester 会将测试的实际结束时间与 input_end_date 比较；如果测试提前结束（容差 80 小时），则返回零。日期设置错误会使所有测试遍次归零，整个优化看起来像是坏掉了。请将 input_end_date 设为与策略测试器中相同的结束日期。</w:t>
      </w:r>
    </w:p>
    <w:p>
      <w:pPr>
        <w:pStyle w:val="Heading2"/>
      </w:pPr>
      <w:r>
        <w:rPr>
          <w:color w:val="1E3A5F"/>
        </w:rPr>
        <w:t>范围与事实来源</w:t>
      </w:r>
    </w:p>
    <w:p>
      <w:r>
        <w:t>EA 源码定义 inputs、默认值、枚举与功能；清单定义每个 set 的状态、路径和 SHA-256。旧 Quantum 资料仅供追溯。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自动生成资料；参数标识符与 EA 完全一致。</w:t>
      </w:r>
    </w:p>
    <w:p>
      <w:pPr>
        <w:pStyle w:val="Heading2"/>
      </w:pPr>
      <w:r>
        <w:rPr>
          <w:color w:val="1E3A5F"/>
        </w:rPr>
        <w:t>Walk-forward 方法</w:t>
      </w:r>
    </w:p>
    <w:p>
      <w:r>
        <w:t>按时间顺序使用 IS、OOS 和 forward demo，并采用真实点差、佣金、swap 与 slippage。</w:t>
      </w:r>
    </w:p>
    <w:p>
      <w:pPr>
        <w:pStyle w:val="Heading2"/>
      </w:pPr>
      <w:r>
        <w:rPr>
          <w:color w:val="1E3A5F"/>
        </w:rPr>
        <w:t>安全流程</w:t>
      </w:r>
    </w:p>
    <w:p>
      <w:r>
        <w:t>每个阶段只改变一个矩阵，并保存完整证据。</w:t>
      </w:r>
    </w:p>
    <w:p>
      <w:pPr>
        <w:pStyle w:val="ListBullet"/>
      </w:pPr>
      <w:r>
        <w:t>确认 EX5、源码、set schema 与清单属于同一版本。</w:t>
      </w:r>
    </w:p>
    <w:p>
      <w:pPr>
        <w:pStyle w:val="ListBullet"/>
      </w:pPr>
      <w:r>
        <w:t>通过 Strategy Tester Inputs 加载 set 库。</w:t>
      </w:r>
    </w:p>
    <w:p>
      <w:pPr>
        <w:pStyle w:val="ListBullet"/>
      </w:pPr>
      <w:r>
        <w:t>映射经纪商的精确品种与 suffix。</w:t>
      </w:r>
    </w:p>
    <w:p>
      <w:pPr>
        <w:pStyle w:val="ListBullet"/>
      </w:pPr>
      <w:r>
        <w:t>先用 01–05 baseline，分别测试 BUY/SELL。</w:t>
      </w:r>
    </w:p>
    <w:p>
      <w:pPr>
        <w:pStyle w:val="ListBullet"/>
      </w:pPr>
      <w:r>
        <w:t>06 用于单轴研究。</w:t>
      </w:r>
    </w:p>
    <w:p>
      <w:pPr>
        <w:pStyle w:val="ListBullet"/>
      </w:pPr>
      <w:r>
        <w:t>07 入场、08 过滤、09 风险、10 出场。</w:t>
      </w:r>
    </w:p>
    <w:p>
      <w:pPr>
        <w:pStyle w:val="ListBullet"/>
      </w:pPr>
      <w:r>
        <w:t>依次执行 IS、OOS 与 forward demo。</w:t>
      </w:r>
    </w:p>
    <w:p>
      <w:pPr>
        <w:pStyle w:val="ListBullet"/>
      </w:pPr>
      <w:r>
        <w:t>检查 Status、RelativePath 与 SHA256。</w:t>
      </w:r>
    </w:p>
    <w:p>
      <w:pPr>
        <w:pStyle w:val="ListBullet"/>
      </w:pPr>
      <w:r>
        <w:t>只有明确 USE 才代表指定环境可用。</w:t>
      </w:r>
    </w:p>
    <w:p>
      <w:pPr>
        <w:pStyle w:val="Heading2"/>
      </w:pPr>
      <w:r>
        <w:rPr>
          <w:color w:val="1E3A5F"/>
        </w:rPr>
        <w:t>清单状态与发布决策</w:t>
      </w:r>
    </w:p>
    <w:p>
      <w:r>
        <w:t>保留原状态，并保守映射为 USE、REOPTIMIZE、RESEARCH 或 HOLD。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管理方式</w:t>
            </w:r>
          </w:p>
        </w:tc>
        <w:tc>
          <w:tcPr>
            <w:tcW w:type="dxa" w:w="2880"/>
          </w:tcPr>
          <w:p>
            <w:r>
              <w:t>参数集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风险警告</w:t>
      </w:r>
    </w:p>
    <w:p>
      <w:r>
        <w:t>任何 EA、set 或历史结果都不能保证未来表现。必须进行 OOS 与模拟盘验证。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