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Tutorial del ecosistema de sets</w:t>
      </w:r>
    </w:p>
    <w:p>
      <w:r>
        <w:t>Referencia autoritativa generada desde la fuente actual y el manifiesto de sets — EA 1.11 — 127 inputs — 3738 sets</w:t>
      </w:r>
    </w:p>
    <w:p>
      <w:pPr>
        <w:pStyle w:val="Heading2"/>
      </w:pPr>
      <w:r>
        <w:rPr>
          <w:color w:val="1E3A5F"/>
        </w:rPr>
        <w:t>Alcance y fuentes de verdad</w:t>
      </w:r>
    </w:p>
    <w:p>
      <w:r>
        <w:t>La fuente define inputs, valores y funciones; el manifiesto define cada set, estado, ruta y SHA-256. El archivo Quantum antiguo es solo histórico.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Material generado; los identificadores coinciden exactamente con la EA.</w:t>
      </w:r>
    </w:p>
    <w:p>
      <w:pPr>
        <w:pStyle w:val="Heading2"/>
      </w:pPr>
      <w:r>
        <w:rPr>
          <w:color w:val="1E3A5F"/>
        </w:rPr>
        <w:t>Instalación y primera prueba</w:t>
      </w:r>
    </w:p>
    <w:p>
      <w:r>
        <w:t>Instale el EX5 correcto, cargue un set en Tester Inputs, elija el símbolo exacto y revise el Journal.</w:t>
      </w:r>
    </w:p>
    <w:p>
      <w:pPr>
        <w:pStyle w:val="Heading2"/>
      </w:pPr>
      <w:r>
        <w:rPr>
          <w:color w:val="1E3A5F"/>
        </w:rPr>
        <w:t>Biblioteca de sets detectada</w:t>
      </w:r>
    </w:p>
    <w:p>
      <w:r>
        <w:t>Las cantidades se leen de archivos y manifiesto. Cada set es una hipótesis, no una promesa.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Estados y decisión</w:t>
      </w:r>
    </w:p>
    <w:p>
      <w:r>
        <w:t>Se conserva el estado exacto y se mapea de forma conservadora a USE, REOPTIMIZE, RESEARCH o 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Gestión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</w:tr>
      <w:tr>
        <w:tc>
          <w:tcPr>
            <w:tcW w:type="dxa" w:w="2880"/>
          </w:tcPr>
          <w:p>
            <w:r>
              <w:t>01_SLTP</w:t>
            </w:r>
          </w:p>
        </w:tc>
        <w:tc>
          <w:tcPr>
            <w:tcW w:type="dxa" w:w="2880"/>
          </w:tcPr>
          <w:p>
            <w:r>
              <w:t>Stop Loss + Take Profit as ATR multiples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02_SLTP_ORGANIC</w:t>
            </w:r>
          </w:p>
        </w:tc>
        <w:tc>
          <w:tcPr>
            <w:tcW w:type="dxa" w:w="2880"/>
          </w:tcPr>
          <w:p>
            <w:r>
              <w:t>SL + organic take anchored on the last trade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03_TRAIL_ONLY</w:t>
            </w:r>
          </w:p>
        </w:tc>
        <w:tc>
          <w:tcPr>
            <w:tcW w:type="dxa" w:w="2880"/>
          </w:tcPr>
          <w:p>
            <w:r>
              <w:t>SL + trailing, no TP: let it run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04_SLTP_TRAIL</w:t>
            </w:r>
          </w:p>
        </w:tc>
        <w:tc>
          <w:tcPr>
            <w:tcW w:type="dxa" w:w="2880"/>
          </w:tcPr>
          <w:p>
            <w:r>
              <w:t>SL + TP + trailing behind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05_BE_TRAIL</w:t>
            </w:r>
          </w:p>
        </w:tc>
        <w:tc>
          <w:tcPr>
            <w:tcW w:type="dxa" w:w="2880"/>
          </w:tcPr>
          <w:p>
            <w:r>
              <w:t>Mandatory breakeven + trailing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06_REVERSAL_EXIT</w:t>
            </w:r>
          </w:p>
        </w:tc>
        <w:tc>
          <w:tcPr>
            <w:tcW w:type="dxa" w:w="2880"/>
          </w:tcPr>
          <w:p>
            <w:r>
              <w:t>Closes on the indicator's opposite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07_GRID_SEPARATE</w:t>
            </w:r>
          </w:p>
        </w:tc>
        <w:tc>
          <w:tcPr>
            <w:tcW w:type="dxa" w:w="2880"/>
          </w:tcPr>
          <w:p>
            <w:r>
              <w:t>Grid with a target per side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08_GRID_UNIFIED</w:t>
            </w:r>
          </w:p>
        </w:tc>
        <w:tc>
          <w:tcPr>
            <w:tcW w:type="dxa" w:w="2880"/>
          </w:tcPr>
          <w:p>
            <w:r>
              <w:t>Grid with a single basket target (hedging account)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09_MARTINGALE</w:t>
            </w:r>
          </w:p>
        </w:tc>
        <w:tc>
          <w:tcPr>
            <w:tcW w:type="dxa" w:w="2880"/>
          </w:tcPr>
          <w:p>
            <w:r>
              <w:t>Lot doubles after a loss, one position per side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10_DALEMBERT</w:t>
            </w:r>
          </w:p>
        </w:tc>
        <w:tc>
          <w:tcPr>
            <w:tcW w:type="dxa" w:w="2880"/>
          </w:tcPr>
          <w:p>
            <w:r>
              <w:t>Lot grows in arithmetic steps after a loss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11_SIGNAL_ONLY</w:t>
            </w:r>
          </w:p>
        </w:tc>
        <w:tc>
          <w:tcPr>
            <w:tcW w:type="dxa" w:w="2880"/>
          </w:tcPr>
          <w:p>
            <w:r>
              <w:t>No SL and no TP: measures the raw signal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</w:tbl>
    <w:p>
      <w:pPr>
        <w:pStyle w:val="Heading2"/>
      </w:pPr>
      <w:r>
        <w:rPr>
          <w:color w:val="1E3A5F"/>
        </w:rPr>
        <w:t>Flujo seguro</w:t>
      </w:r>
    </w:p>
    <w:p>
      <w:r>
        <w:t>Cambie una sola matriz por etapa y conserve la evidencia.</w:t>
      </w:r>
    </w:p>
    <w:p>
      <w:pPr>
        <w:pStyle w:val="ListBullet"/>
      </w:pPr>
      <w:r>
        <w:t>Confirme que EX5, fuente, esquema y manifiesto son de la misma versión.</w:t>
      </w:r>
    </w:p>
    <w:p>
      <w:pPr>
        <w:pStyle w:val="ListBullet"/>
      </w:pPr>
      <w:r>
        <w:t>Cargue la biblioteca mediante Strategy Tester Inputs.</w:t>
      </w:r>
    </w:p>
    <w:p>
      <w:pPr>
        <w:pStyle w:val="ListBullet"/>
      </w:pPr>
      <w:r>
        <w:t>Mapee el símbolo y suffix exactos del bróker.</w:t>
      </w:r>
    </w:p>
    <w:p>
      <w:pPr>
        <w:pStyle w:val="ListBullet"/>
      </w:pPr>
      <w:r>
        <w:t>Empiece por baseline 01–05 y separe BUY/SELL.</w:t>
      </w:r>
    </w:p>
    <w:p>
      <w:pPr>
        <w:pStyle w:val="ListBullet"/>
      </w:pPr>
      <w:r>
        <w:t>Use 06 para una sola variable.</w:t>
      </w:r>
    </w:p>
    <w:p>
      <w:pPr>
        <w:pStyle w:val="ListBullet"/>
      </w:pPr>
      <w:r>
        <w:t>Use 07 entrada, 08 filtros, 09 riesgo y 10 salidas.</w:t>
      </w:r>
    </w:p>
    <w:p>
      <w:pPr>
        <w:pStyle w:val="ListBullet"/>
      </w:pPr>
      <w:r>
        <w:t>Ejecute IS, OOS y forward demo cronológicos.</w:t>
      </w:r>
    </w:p>
    <w:p>
      <w:pPr>
        <w:pStyle w:val="ListBullet"/>
      </w:pPr>
      <w:r>
        <w:t>Compruebe Status, RelativePath y SHA256.</w:t>
      </w:r>
    </w:p>
    <w:p>
      <w:pPr>
        <w:pStyle w:val="ListBullet"/>
      </w:pPr>
      <w:r>
        <w:t>Solo USE explícito autoriza el entorno definido.</w:t>
      </w:r>
    </w:p>
    <w:p>
      <w:pPr>
        <w:pStyle w:val="Heading2"/>
      </w:pPr>
      <w:r>
        <w:rPr>
          <w:color w:val="1E3A5F"/>
        </w:rPr>
        <w:t>Telemetría de ciclos del panel</w:t>
      </w:r>
    </w:p>
    <w:p>
      <w:r>
        <w:t>El panel usa los mismos snapshots que el cálculo de lotes y el cierre de cestas.</w:t>
      </w:r>
    </w:p>
    <w:p>
      <w:pPr>
        <w:pStyle w:val="ListBullet"/>
      </w:pPr>
      <w:r>
        <w:t>La actualización periódica por tick se limita a una vez por segundo; inicio y eventos de trading pueden refrescar inmediatamente.</w:t>
      </w:r>
    </w:p>
    <w:p>
      <w:pPr>
        <w:pStyle w:val="ListBullet"/>
      </w:pPr>
      <w:r>
        <w:t>Balance y Equity son de toda la cuenta. El P&amp;L cerrado es el cambio desde OnInit; P&amp;L abierto y posiciones son el estado actual filtrado por Symbol + Magic.</w:t>
      </w:r>
    </w:p>
    <w:p>
      <w:pPr>
        <w:pStyle w:val="ListBullet"/>
      </w:pPr>
      <w:r>
        <w:t>Martingale muestra por BUY/SELL pérdidas consecutivas, número e importe bruto de pérdidas, recuperado, déficit y objetivo = déficit × Multiplicador.</w:t>
      </w:r>
    </w:p>
    <w:p>
      <w:pPr>
        <w:pStyle w:val="ListBullet"/>
      </w:pPr>
      <w:r>
        <w:t>Superar MaxMartingaleSteps hace hard reset: descarta el déficit y la siguiente orden usa lote base. Máximo una posición abierta por lado.</w:t>
      </w:r>
    </w:p>
    <w:p>
      <w:pPr>
        <w:pStyle w:val="ListBullet"/>
      </w:pPr>
      <w:r>
        <w:t>D'Alembert muestra nivel actual y próximo lote normalizado para BUY/SELL.</w:t>
      </w:r>
    </w:p>
    <w:p>
      <w:pPr>
        <w:pStyle w:val="ListBullet"/>
      </w:pPr>
      <w:r>
        <w:t>Grid muestra piernas/volumen, realizado con costes, P&amp;L abierto, P&amp;L del ciclo, objetivo congelado al inicio y restante.</w:t>
      </w:r>
    </w:p>
    <w:p>
      <w:pPr>
        <w:pStyle w:val="ListBullet"/>
      </w:pPr>
      <w:r>
        <w:t>La ancla es la posición confirmada más reciente. BUY exige estrictamente anchor − ATR × DistanciaMinima por debajo; SELL estrictamente por encima; el progreso se expresa en ATR.</w:t>
      </w:r>
    </w:p>
    <w:p>
      <w:pPr>
        <w:pStyle w:val="ListBullet"/>
      </w:pPr>
      <w:r>
        <w:t>Separate termina solo el ciclo del lado que queda flat; Unified termina cuando ambos lados quedan flat. Órdenes en tránsito retrasan el reset.</w:t>
      </w:r>
    </w:p>
    <w:p>
      <w:pPr>
        <w:pStyle w:val="ListBullet"/>
      </w:pPr>
      <w:r>
        <w:t>El objetivo dispara la solicitud de cierre; comisión, tasas y slippage de salida pueden dejar el resultado final algo por debajo.</w:t>
      </w:r>
    </w:p>
    <w:p>
      <w:pPr>
        <w:pStyle w:val="ListBullet"/>
      </w:pPr>
      <w:r>
        <w:t>InterfaceLanguage conserva 11 idiomas. Auto usa inglés en Tester y el idioma del terminal en vivo; etiquetas sin traducción usan inglés.</w:t>
      </w:r>
    </w:p>
    <w:p>
      <w:pPr>
        <w:pStyle w:val="Heading2"/>
      </w:pPr>
      <w:r>
        <w:rPr>
          <w:color w:val="1E3A5F"/>
        </w:rPr>
        <w:t>Compatibilidad y restricciones</w:t>
      </w:r>
    </w:p>
    <w:p>
      <w:r>
        <w:t>Son reglas conservadoras; el bróker puede imponer límites más estrictos.</w:t>
      </w:r>
    </w:p>
    <w:p>
      <w:pPr>
        <w:pStyle w:val="ListBullet"/>
      </w:pPr>
      <w:r>
        <w:t>Percentage y Fixed-R requieren AtivarStop=true.</w:t>
      </w:r>
    </w:p>
    <w:p>
      <w:pPr>
        <w:pStyle w:val="ListBullet"/>
      </w:pPr>
      <w:r>
        <w:t>Grid: solo Monetary/Fixed Lot, Recovery_None y cuenta hedging.</w:t>
      </w:r>
    </w:p>
    <w:p>
      <w:pPr>
        <w:pStyle w:val="ListBullet"/>
      </w:pPr>
      <w:r>
        <w:t>Grid requiere take, DistanciaMinima positivo y límite de al menos dos posiciones.</w:t>
      </w:r>
    </w:p>
    <w:p>
      <w:pPr>
        <w:pStyle w:val="ListBullet"/>
      </w:pPr>
      <w:r>
        <w:t>Mientras la cesta siga abierta, las pérdidas realizadas, swap, comisión y tasas del ciclo permanecen incluidos en el resultado necesario para alcanzar el objetivo; la ganancia aislada de una pierna no los borra.</w:t>
      </w:r>
    </w:p>
    <w:p>
      <w:pPr>
        <w:pStyle w:val="ListBullet"/>
      </w:pPr>
      <w:r>
        <w:t>En Grid_SeparateProfit, BUY y SELL tienen ciclos independientes. Si desaparecen todas las posiciones de un lado, termina su ciclo; una entrada posterior inicia otro sin arrastrar el déficit cerrado.</w:t>
      </w:r>
    </w:p>
    <w:p>
      <w:pPr>
        <w:pStyle w:val="ListBullet"/>
      </w:pPr>
      <w:r>
        <w:t>D'Alembert: Fixed Lot, Grid_Disabled y DAlembertStep&gt;0.</w:t>
      </w:r>
    </w:p>
    <w:p>
      <w:pPr>
        <w:pStyle w:val="ListBullet"/>
      </w:pPr>
      <w:r>
        <w:t>Martingale respeta MaxMartingaleSteps y MaxMartingaleLot.</w:t>
      </w:r>
    </w:p>
    <w:p>
      <w:pPr>
        <w:pStyle w:val="ListBullet"/>
      </w:pPr>
      <w:r>
        <w:t>OnOppositeOrder exige hedging, ambos lados y grid apagado.</w:t>
      </w:r>
    </w:p>
    <w:p>
      <w:pPr>
        <w:pStyle w:val="ListBullet"/>
      </w:pPr>
      <w:r>
        <w:t>Backtest de noticias requiere CSV en Common\Files.</w:t>
      </w:r>
    </w:p>
    <w:p>
      <w:pPr>
        <w:pStyle w:val="ListBullet"/>
      </w:pPr>
      <w:r>
        <w:t>El horario usa tiempo del servidor.</w:t>
      </w:r>
    </w:p>
    <w:p>
      <w:pPr>
        <w:pStyle w:val="ListBullet"/>
      </w:pPr>
      <w:r>
        <w:t>Valide suffix y especificaciones con cada bróker.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Aviso de riesgo</w:t>
      </w:r>
    </w:p>
    <w:p>
      <w:r>
        <w:t>Ninguna EA, set ni resultado histórico garantiza el futuro. Valide OOS y en demo.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