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WFO-Optimierungsleitfaden</w:t>
      </w:r>
    </w:p>
    <w:p>
      <w:r>
        <w:t>Verbindliche Referenz aus aktuellem EA-Quelltext und Set-Manifest — EA 1.11 — 127 inputs — 3738 sets</w:t>
      </w:r>
    </w:p>
    <w:p>
      <w:r>
        <w:t>Auf das Datum achten. Bei aktiviertem WFO vergleicht OnTester das tatsächliche Testende mit input_end_date und liefert null zurück, wenn der Test früher endete (Toleranz 80 Stunden). Ein falsches Datum setzt jeden Durchlauf auf null und die gesamte Optimierung wirkt defekt. Setzen Sie input_end_date auf dasselbe Enddatum, das im Strategietester konfiguriert ist.</w:t>
      </w:r>
    </w:p>
    <w:p>
      <w:pPr>
        <w:pStyle w:val="Heading2"/>
      </w:pPr>
      <w:r>
        <w:rPr>
          <w:color w:val="1E3A5F"/>
        </w:rPr>
        <w:t>Umfang und Wahrheitsquellen</w:t>
      </w:r>
    </w:p>
    <w:p>
      <w:r>
        <w:t>Der EA-Quelltext definiert Inputs, Defaults und Funktionen; das Manifest jedes Set, Status, Pfad und SHA-256. Das alte Quantum-Archiv ist nur historisch.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Generiertes Material; Parameternamen entsprechen exakt dem EA.</w:t>
      </w:r>
    </w:p>
    <w:p>
      <w:pPr>
        <w:pStyle w:val="Heading2"/>
      </w:pPr>
      <w:r>
        <w:rPr>
          <w:color w:val="1E3A5F"/>
        </w:rPr>
        <w:t>Walk-forward-Methode</w:t>
      </w:r>
    </w:p>
    <w:p>
      <w:r>
        <w:t>Chronologische IS-, OOS- und Forward-Demo-Phasen mit realistischem Spread, Provision, Swap und Slippage.</w:t>
      </w:r>
    </w:p>
    <w:p>
      <w:pPr>
        <w:pStyle w:val="Heading2"/>
      </w:pPr>
      <w:r>
        <w:rPr>
          <w:color w:val="1E3A5F"/>
        </w:rPr>
        <w:t>Sicherer Ablauf</w:t>
      </w:r>
    </w:p>
    <w:p>
      <w:r>
        <w:t>Pro Stufe nur eine Matrix ändern und Nachweise aufbewahren.</w:t>
      </w:r>
    </w:p>
    <w:p>
      <w:pPr>
        <w:pStyle w:val="ListBullet"/>
      </w:pPr>
      <w:r>
        <w:t>Version von EX5, Quelle, Set-Schema und Manifest abgleichen.</w:t>
      </w:r>
    </w:p>
    <w:p>
      <w:pPr>
        <w:pStyle w:val="ListBullet"/>
      </w:pPr>
      <w:r>
        <w:t>Bibliothek über Strategy Tester Inputs laden.</w:t>
      </w:r>
    </w:p>
    <w:p>
      <w:pPr>
        <w:pStyle w:val="ListBullet"/>
      </w:pPr>
      <w:r>
        <w:t>Exaktes Brokersymbol und Suffix zuordnen.</w:t>
      </w:r>
    </w:p>
    <w:p>
      <w:pPr>
        <w:pStyle w:val="ListBullet"/>
      </w:pPr>
      <w:r>
        <w:t>Mit Baseline 01–05 beginnen und BUY/SELL trennen.</w:t>
      </w:r>
    </w:p>
    <w:p>
      <w:pPr>
        <w:pStyle w:val="ListBullet"/>
      </w:pPr>
      <w:r>
        <w:t>06 dient Ein-Achsen-Forschung.</w:t>
      </w:r>
    </w:p>
    <w:p>
      <w:pPr>
        <w:pStyle w:val="ListBullet"/>
      </w:pPr>
      <w:r>
        <w:t>07 Einstieg, 08 Filter, 09 Risiko, 10 Ausstieg.</w:t>
      </w:r>
    </w:p>
    <w:p>
      <w:pPr>
        <w:pStyle w:val="ListBullet"/>
      </w:pPr>
      <w:r>
        <w:t>IS, OOS und Forward Demo chronologisch durchführen.</w:t>
      </w:r>
    </w:p>
    <w:p>
      <w:pPr>
        <w:pStyle w:val="ListBullet"/>
      </w:pPr>
      <w:r>
        <w:t>Status, RelativePath und SHA256 prüfen.</w:t>
      </w:r>
    </w:p>
    <w:p>
      <w:pPr>
        <w:pStyle w:val="ListBullet"/>
      </w:pPr>
      <w:r>
        <w:t>Nur explizites USE gilt für die definierte Umgebung.</w:t>
      </w:r>
    </w:p>
    <w:p>
      <w:pPr>
        <w:pStyle w:val="Heading2"/>
      </w:pPr>
      <w:r>
        <w:rPr>
          <w:color w:val="1E3A5F"/>
        </w:rPr>
        <w:t>Manifeststatus und Entscheidung</w:t>
      </w:r>
    </w:p>
    <w:p>
      <w:r>
        <w:t>Der Originalstatus bleibt erhalten und wird konservativ auf USE, REOPTIMIZE, RESEARCH oder HOLD abgebildet.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Management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Risikohinweis</w:t>
      </w:r>
    </w:p>
    <w:p>
      <w:r>
        <w:t>EA, Set und historische Ergebnisse garantieren keine Zukunft. OOS und Demo validieren.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