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Technische Kompatibilität</w:t>
      </w:r>
    </w:p>
    <w:p>
      <w:r>
        <w:t>Verbindliche Referenz aus aktuellem EA-Quelltext und Set-Manifest — EA 1.11 — 127 inputs — 3738 sets</w:t>
      </w:r>
    </w:p>
    <w:p>
      <w:pPr>
        <w:pStyle w:val="Heading2"/>
      </w:pPr>
      <w:r>
        <w:rPr>
          <w:color w:val="1E3A5F"/>
        </w:rPr>
        <w:t>Umfang und Wahrheitsquellen</w:t>
      </w:r>
    </w:p>
    <w:p>
      <w:r>
        <w:t>Der EA-Quelltext definiert Inputs, Defaults und Funktionen; das Manifest jedes Set, Status, Pfad und SHA-256. Das alte Quantum-Archiv ist nur historisch.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Generiertes Material; Parameternamen entsprechen exakt dem EA.</w:t>
      </w:r>
    </w:p>
    <w:p>
      <w:pPr>
        <w:pStyle w:val="Heading2"/>
      </w:pPr>
      <w:r>
        <w:rPr>
          <w:color w:val="1E3A5F"/>
        </w:rPr>
        <w:t>Zyklus-Telemetrie im Dashboard</w:t>
      </w:r>
    </w:p>
    <w:p>
      <w:r>
        <w:t>Das Panel nutzt dieselben Zustands-Snapshots wie Lotberechnung und Basket-Schließung.</w:t>
      </w:r>
    </w:p>
    <w:p>
      <w:pPr>
        <w:pStyle w:val="ListBullet"/>
      </w:pPr>
      <w:r>
        <w:t>Die periodische Tick-Aktualisierung ist auf einmal pro Sekunde begrenzt; Initialisierung und Trade-Ereignisse können sofort aktualisieren.</w:t>
      </w:r>
    </w:p>
    <w:p>
      <w:pPr>
        <w:pStyle w:val="ListBullet"/>
      </w:pPr>
      <w:r>
        <w:t>Balance und Equity gelten fürs gesamte Konto. Closed P&amp;L ist die Änderung seit OnInit; Open P&amp;L und Positionen sind aktuell und nach Symbol + Magic gefiltert.</w:t>
      </w:r>
    </w:p>
    <w:p>
      <w:pPr>
        <w:pStyle w:val="ListBullet"/>
      </w:pPr>
      <w:r>
        <w:t>Martingale zeigt je BUY/SELL Verlustserie, Anzahl und Bruttosumme der Zyklusverluste, recovered, deficit und target = deficit × Multiplicador.</w:t>
      </w:r>
    </w:p>
    <w:p>
      <w:pPr>
        <w:pStyle w:val="ListBullet"/>
      </w:pPr>
      <w:r>
        <w:t>Über MaxMartingaleSteps erfolgt Hard Reset: alter Deficit entfällt, die nächste Order nutzt Base Lot. Maximal eine offene Position je Seite.</w:t>
      </w:r>
    </w:p>
    <w:p>
      <w:pPr>
        <w:pStyle w:val="ListBullet"/>
      </w:pPr>
      <w:r>
        <w:t>D'Alembert zeigt aktuelles Level und nächsten normalisierten Lot für BUY/SELL.</w:t>
      </w:r>
    </w:p>
    <w:p>
      <w:pPr>
        <w:pStyle w:val="ListBullet"/>
      </w:pPr>
      <w:r>
        <w:t>Grid zeigt Legs/Volumen, Realized inklusive Kosten, Open P&amp;L, Cycle P&amp;L, beim Start fixiertes Target und Remaining.</w:t>
      </w:r>
    </w:p>
    <w:p>
      <w:pPr>
        <w:pStyle w:val="ListBullet"/>
      </w:pPr>
      <w:r>
        <w:t>Anchor ist die neueste bestätigte Position. BUY muss strikt unter anchor − ATR × DistanciaMinima, SELL strikt darüber liegen; Fortschritt wird in ATR gezeigt.</w:t>
      </w:r>
    </w:p>
    <w:p>
      <w:pPr>
        <w:pStyle w:val="ListBullet"/>
      </w:pPr>
      <w:r>
        <w:t>Separate beendet nur den flat gewordenen Seitenzyklus; Unified endet, wenn beide Seiten flat sind. Laufende Orders verzögern Reset.</w:t>
      </w:r>
    </w:p>
    <w:p>
      <w:pPr>
        <w:pStyle w:val="ListBullet"/>
      </w:pPr>
      <w:r>
        <w:t>Target löst die Schließanforderung aus; tatsächliche Exit-Provision, Gebühren und Slippage können das Endergebnis leicht darunter setzen.</w:t>
      </w:r>
    </w:p>
    <w:p>
      <w:pPr>
        <w:pStyle w:val="ListBullet"/>
      </w:pPr>
      <w:r>
        <w:t>InterfaceLanguage behält 11 Sprachen. Auto nutzt English im Tester und die Terminalsprache live; nicht übersetzte Labels fallen auf English zurück.</w:t>
      </w:r>
    </w:p>
    <w:p>
      <w:pPr>
        <w:pStyle w:val="Heading2"/>
      </w:pPr>
      <w:r>
        <w:rPr>
          <w:color w:val="1E3A5F"/>
        </w:rPr>
        <w:t>Kompatibilität und Grenzen</w:t>
      </w:r>
    </w:p>
    <w:p>
      <w:r>
        <w:t>Konservative Regeln; strengere Brokergrenzen gelten vorrangig.</w:t>
      </w:r>
    </w:p>
    <w:p>
      <w:pPr>
        <w:pStyle w:val="ListBullet"/>
      </w:pPr>
      <w:r>
        <w:t>Percentage und Fixed-R benötigen AtivarStop=true.</w:t>
      </w:r>
    </w:p>
    <w:p>
      <w:pPr>
        <w:pStyle w:val="ListBullet"/>
      </w:pPr>
      <w:r>
        <w:t>Grid nur mit Monetary/Fixed Lot, Recovery_None und Hedging-Konto.</w:t>
      </w:r>
    </w:p>
    <w:p>
      <w:pPr>
        <w:pStyle w:val="ListBullet"/>
      </w:pPr>
      <w:r>
        <w:t>Grid benötigt Take, positive DistanciaMinima und Limit mindestens zwei.</w:t>
      </w:r>
    </w:p>
    <w:p>
      <w:pPr>
        <w:pStyle w:val="ListBullet"/>
      </w:pPr>
      <w:r>
        <w:t>Solange der Basket offen bleibt, zählen realisierte Verluste, Swap, Provision und Gebühren des Zyklus weiter zum noch benötigten Zielergebnis; der Gewinn eines einzelnen Legs löscht diese Kosten nicht.</w:t>
      </w:r>
    </w:p>
    <w:p>
      <w:pPr>
        <w:pStyle w:val="ListBullet"/>
      </w:pPr>
      <w:r>
        <w:t>Bei Grid_SeparateProfit sind BUY- und SELL-Zyklen getrennt. Verschwinden alle Positionen einer Seite, endet deren Zyklus; ein späterer Einstieg beginnt ohne Übertrag des geschlossenen Defizits neu.</w:t>
      </w:r>
    </w:p>
    <w:p>
      <w:pPr>
        <w:pStyle w:val="ListBullet"/>
      </w:pPr>
      <w:r>
        <w:t>D'Alembert nur Fixed Lot, Grid_Disabled und DAlembertStep&gt;0.</w:t>
      </w:r>
    </w:p>
    <w:p>
      <w:pPr>
        <w:pStyle w:val="ListBullet"/>
      </w:pPr>
      <w:r>
        <w:t>Martingale beachtet MaxMartingaleSteps und MaxMartingaleLot.</w:t>
      </w:r>
    </w:p>
    <w:p>
      <w:pPr>
        <w:pStyle w:val="ListBullet"/>
      </w:pPr>
      <w:r>
        <w:t>OnOppositeOrder benötigt Hedging, beide Seiten und Grid aus.</w:t>
      </w:r>
    </w:p>
    <w:p>
      <w:pPr>
        <w:pStyle w:val="ListBullet"/>
      </w:pPr>
      <w:r>
        <w:t>News-Backtest benötigt CSV in Common\Files.</w:t>
      </w:r>
    </w:p>
    <w:p>
      <w:pPr>
        <w:pStyle w:val="ListBullet"/>
      </w:pPr>
      <w:r>
        <w:t>Zeitplan verwendet Broker-Serverzeit.</w:t>
      </w:r>
    </w:p>
    <w:p>
      <w:pPr>
        <w:pStyle w:val="ListBullet"/>
      </w:pPr>
      <w:r>
        <w:t>Suffix und Symbolspezifikation je Broker prüfen.</w:t>
      </w:r>
    </w:p>
    <w:p>
      <w:pPr>
        <w:pStyle w:val="Heading2"/>
      </w:pPr>
      <w:r>
        <w:rPr>
          <w:color w:val="1E3A5F"/>
        </w:rPr>
        <w:t>Signale und Einstiege</w:t>
      </w:r>
    </w:p>
    <w:p>
      <w:r>
        <w:t>Sechs Engines nutzen Reversal, Signal/Referenz- und Basis/Referenz-Cross. And gilt auf derselben geschlossenen Kerze; All akzeptiert jedes Ereignis.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Manifeststatus und Entscheidung</w:t>
      </w:r>
    </w:p>
    <w:p>
      <w:r>
        <w:t>Der Originalstatus bleibt erhalten und wird konservativ auf USE, REOPTIMIZE, RESEARCH oder HOLD abgebildet.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Risikohinweis</w:t>
      </w:r>
    </w:p>
    <w:p>
      <w:r>
        <w:t>EA, Set und historische Ergebnisse garantieren keine Zukunft. OOS und Demo validieren.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