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전체 사용자 설명서</w:t>
      </w:r>
    </w:p>
    <w:p>
      <w:r>
        <w:t>현재 EA 소스와 set 매니페스트에서 생성한 공식 참조 — EA 1.11 — 127 inputs — 3738 sets</w:t>
      </w:r>
    </w:p>
    <w:p>
      <w:pPr>
        <w:pStyle w:val="Heading2"/>
      </w:pPr>
      <w:r>
        <w:rPr>
          <w:color w:val="1E3A5F"/>
        </w:rPr>
        <w:t>범위와 기준 데이터</w:t>
      </w:r>
    </w:p>
    <w:p>
      <w:r>
        <w:t>EA 소스가 inputs, 기본값, 기능을 정의하고 매니페스트가 각 set의 상태, 경로, SHA-256을 정의합니다. 구 Quantum 자료는 기록용입니다.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자동 생성 문서이며 파라미터 식별자는 EA와 정확히 같습니다.</w:t>
      </w:r>
    </w:p>
    <w:p>
      <w:pPr>
        <w:pStyle w:val="Heading2"/>
      </w:pPr>
      <w:r>
        <w:rPr>
          <w:color w:val="1E3A5F"/>
        </w:rPr>
        <w:t>설치와 첫 실행</w:t>
      </w:r>
    </w:p>
    <w:p>
      <w:r>
        <w:t>일치하는 EX5를 설치하고 Tester Inputs에서 set을 로드한 뒤 정확한 심볼과 Journal을 확인합니다.</w:t>
      </w:r>
    </w:p>
    <w:p>
      <w:pPr>
        <w:pStyle w:val="Heading2"/>
      </w:pPr>
      <w:r>
        <w:rPr>
          <w:color w:val="1E3A5F"/>
        </w:rPr>
        <w:t>신호와 진입 방식</w:t>
      </w:r>
    </w:p>
    <w:p>
      <w:r>
        <w:t>6개 엔진은 reversal, signal/reference cross, baseline/reference cross를 공유합니다. And는 같은 종가 확정 봉, All은 어느 하나입니다.</w:t>
      </w:r>
    </w:p>
    <w:p>
      <w:pPr>
        <w:pStyle w:val="ListBullet"/>
      </w:pPr>
      <w:r>
        <w:t>12개 네이티브 엔진: MACD, EMA Cross, Momentum, Stochastic, TRIX, RSI, CCI, Williams %R, DeMarker, MFI, OsMA, Ichimoku.</w:t>
      </w:r>
    </w:p>
    <w:p>
      <w:pPr>
        <w:pStyle w:val="ListBullet"/>
      </w:pPr>
      <w:r>
        <w:t>확정 봉의 AND/OR 의미가 명확한 7개 진입 방식.</w:t>
      </w:r>
    </w:p>
    <w:p>
      <w:pPr>
        <w:pStyle w:val="ListBullet"/>
      </w:pPr>
      <w:r>
        <w:t>독립적인 MTF, MA, ADX, ATR, news 필터.</w:t>
      </w:r>
    </w:p>
    <w:p>
      <w:pPr>
        <w:pStyle w:val="ListBullet"/>
      </w:pPr>
      <w:r>
        <w:t>4개 PositionSizeMode와 equity/margin 보호.</w:t>
      </w:r>
    </w:p>
    <w:p>
      <w:pPr>
        <w:pStyle w:val="ListBullet"/>
      </w:pPr>
      <w:r>
        <w:t>Stop, take, breakeven, trailing, reversal 청산.</w:t>
      </w:r>
    </w:p>
    <w:p>
      <w:pPr>
        <w:pStyle w:val="ListBullet"/>
      </w:pPr>
      <w:r>
        <w:t>Dashboard, 일정, 언어, WFO 통합.</w:t>
      </w:r>
    </w:p>
    <w:p>
      <w:pPr>
        <w:pStyle w:val="ListBullet"/>
      </w:pPr>
      <w:r>
        <w:t>EntryIndicator: MACD, EMA_Cross, Momentum, Stochastic, TRIX, RSI, CCI, WPR, DeMarker, MFI, OsMA, Ichimoku.</w:t>
      </w:r>
    </w:p>
    <w:p>
      <w:pPr>
        <w:pStyle w:val="ListBullet"/>
      </w:pPr>
      <w:r>
        <w:t>EntryMethod: Reversal, SignalCross, ReferenceCross, ReversalAndSignalCross, ReversalAndReferenceCross, SignalAndReferenceCross, All.</w:t>
      </w:r>
    </w:p>
    <w:p>
      <w:pPr>
        <w:pStyle w:val="ListBullet"/>
      </w:pPr>
      <w:r>
        <w:t>PositionSizeMode: Percentage, Monetary, FixedLot, FixedR.</w:t>
      </w:r>
    </w:p>
    <w:p>
      <w:pPr>
        <w:pStyle w:val="ListBullet"/>
      </w:pPr>
      <w:r>
        <w:t>RecoveryMode: None, Martingale, DAlembert.</w:t>
      </w:r>
    </w:p>
    <w:p>
      <w:pPr>
        <w:pStyle w:val="ListBullet"/>
      </w:pPr>
      <w:r>
        <w:t>GridMode: Disabled, SeparateProfit, UnifiedProfit.</w:t>
      </w:r>
    </w:p>
    <w:p>
      <w:pPr>
        <w:pStyle w:val="Heading2"/>
      </w:pPr>
      <w:r>
        <w:rPr>
          <w:color w:val="1E3A5F"/>
        </w:rPr>
        <w:t>필터</w:t>
      </w:r>
    </w:p>
    <w:p>
      <w:r>
        <w:t>MTF는 상위 시간대 MACD 정렬이고 MA, ADX, ATR volatility, news는 독립적입니다.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실행과 포지션 관리</w:t>
      </w:r>
    </w:p>
    <w:p>
      <w:r>
        <w:t>spread, margin, volume step, tick size, stops/freeze 제한이 실행에 영향을 줍니다. Journal에서 확인하십시오.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청산 스택</w:t>
      </w:r>
    </w:p>
    <w:p>
      <w:r>
        <w:t>Stop, ATR take, breakeven, ATR trailing, reversal exit는 독립적입니다. ReversalExitUseEntryFilters가 청산 필터를 제어합니다.</w:t>
      </w:r>
    </w:p>
    <w:p>
      <w:pPr>
        <w:pStyle w:val="Heading2"/>
      </w:pPr>
      <w:r>
        <w:rPr>
          <w:color w:val="1E3A5F"/>
        </w:rPr>
        <w:t>위험과 복구</w:t>
      </w:r>
    </w:p>
    <w:p>
      <w:r>
        <w:t>PositionSizeMode 하나만 선택합니다. Percentage/Fixed-R은 stop이 필요하며 Grid/Martingale/D'Alembert는 연구용입니다.</w:t>
      </w:r>
    </w:p>
    <w:p>
      <w:pPr>
        <w:pStyle w:val="Heading2"/>
      </w:pPr>
      <w:r>
        <w:rPr>
          <w:color w:val="1E3A5F"/>
        </w:rPr>
        <w:t>시간, 인터페이스, WFO</w:t>
      </w:r>
    </w:p>
    <w:p>
      <w:r>
        <w:t>브로커 서버 시간, 자정 통과, Saturday/Sunday 설정을 지원합니다. WFO는 IS/OOS를 정의합니다.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사이클 대시보드 텔레메트리</w:t>
      </w:r>
    </w:p>
    <w:p>
      <w:r>
        <w:t>패널은 랏 계산과 바스켓 청산에 쓰이는 동일한 상태 스냅샷을 사용합니다.</w:t>
      </w:r>
    </w:p>
    <w:p>
      <w:pPr>
        <w:pStyle w:val="ListBullet"/>
      </w:pPr>
      <w:r>
        <w:t>tick 주기 갱신은 초당 1회로 제한되며 초기화와 거래 이벤트는 즉시 갱신할 수 있습니다.</w:t>
      </w:r>
    </w:p>
    <w:p>
      <w:pPr>
        <w:pStyle w:val="ListBullet"/>
      </w:pPr>
      <w:r>
        <w:t>Balance/Equity는 전체 계정입니다. Closed P&amp;L은 OnInit 이후 변화이고 Open P&amp;L/positions는 Symbol + Magic으로 필터한 현재 상태입니다.</w:t>
      </w:r>
    </w:p>
    <w:p>
      <w:pPr>
        <w:pStyle w:val="ListBullet"/>
      </w:pPr>
      <w:r>
        <w:t>Martingale은 BUY/SELL별 연속 손실, 사이클 손실 횟수·총액, recovered, deficit, deficit × Multiplicador target을 표시합니다.</w:t>
      </w:r>
    </w:p>
    <w:p>
      <w:pPr>
        <w:pStyle w:val="ListBullet"/>
      </w:pPr>
      <w:r>
        <w:t>MaxMartingaleSteps 초과 시 hard reset으로 기존 deficit을 버리고 다음 주문은 base lot을 씁니다. 방향별 최대 1개 포지션만 허용됩니다.</w:t>
      </w:r>
    </w:p>
    <w:p>
      <w:pPr>
        <w:pStyle w:val="ListBullet"/>
      </w:pPr>
      <w:r>
        <w:t>D'Alembert는 BUY/SELL 현재 레벨과 정규화된 다음 랏을 표시합니다.</w:t>
      </w:r>
    </w:p>
    <w:p>
      <w:pPr>
        <w:pStyle w:val="ListBullet"/>
      </w:pPr>
      <w:r>
        <w:t>Grid는 legs/volume, 비용 포함 realized, open P&amp;L, cycle P&amp;L, 시작 시 고정 target, remaining을 표시합니다.</w:t>
      </w:r>
    </w:p>
    <w:p>
      <w:pPr>
        <w:pStyle w:val="ListBullet"/>
      </w:pPr>
      <w:r>
        <w:t>Anchor는 가장 최근 확정 포지션입니다. BUY는 anchor − ATR × DistanciaMinima 미만, SELL은 그 이상을 엄격히 요구하며 진행은 ATR로 표시됩니다.</w:t>
      </w:r>
    </w:p>
    <w:p>
      <w:pPr>
        <w:pStyle w:val="ListBullet"/>
      </w:pPr>
      <w:r>
        <w:t>Separate는 flat이 된 방향의 사이클만 끝내고 Unified는 양쪽 모두 flat일 때 끝납니다. 처리 중 주문은 reset을 지연합니다.</w:t>
      </w:r>
    </w:p>
    <w:p>
      <w:pPr>
        <w:pStyle w:val="ListBullet"/>
      </w:pPr>
      <w:r>
        <w:t>Target은 청산 요청을 시작할 뿐이며 실제 exit commission, fee, slippage로 최종 결과가 조금 낮을 수 있습니다.</w:t>
      </w:r>
    </w:p>
    <w:p>
      <w:pPr>
        <w:pStyle w:val="ListBullet"/>
      </w:pPr>
      <w:r>
        <w:t>InterfaceLanguage는 11개 언어를 유지합니다. Auto는 Tester에서 English, live에서 터미널 언어를 사용하며 미번역 label은 English로 대체됩니다.</w:t>
      </w:r>
    </w:p>
    <w:p>
      <w:pPr>
        <w:pStyle w:val="Heading2"/>
      </w:pPr>
      <w:r>
        <w:rPr>
          <w:color w:val="1E3A5F"/>
        </w:rPr>
        <w:t>호환성과 제한</w:t>
      </w:r>
    </w:p>
    <w:p>
      <w:r>
        <w:t>보수적인 규칙이며 브로커의 더 엄격한 제한이 우선합니다.</w:t>
      </w:r>
    </w:p>
    <w:p>
      <w:pPr>
        <w:pStyle w:val="ListBullet"/>
      </w:pPr>
      <w:r>
        <w:t>Percentage와 Fixed-R은 AtivarStop=true가 필요합니다.</w:t>
      </w:r>
    </w:p>
    <w:p>
      <w:pPr>
        <w:pStyle w:val="ListBullet"/>
      </w:pPr>
      <w:r>
        <w:t>Grid는 Monetary/Fixed Lot, Recovery_None, hedging account만 지원합니다.</w:t>
      </w:r>
    </w:p>
    <w:p>
      <w:pPr>
        <w:pStyle w:val="ListBullet"/>
      </w:pPr>
      <w:r>
        <w:t>Grid는 take, 양수 DistanciaMinima, 최소 2의 제한이 필요합니다.</w:t>
      </w:r>
    </w:p>
    <w:p>
      <w:pPr>
        <w:pStyle w:val="ListBullet"/>
      </w:pPr>
      <w:r>
        <w:t>바스켓이 열려 있는 동안 해당 사이클의 실현 손실, swap, commission, fees는 목표 달성에 필요한 결과에 계속 포함되며 한 레그의 이익만으로 사라지지 않습니다.</w:t>
      </w:r>
    </w:p>
    <w:p>
      <w:pPr>
        <w:pStyle w:val="ListBullet"/>
      </w:pPr>
      <w:r>
        <w:t>Grid_SeparateProfit에서 BUY와 SELL 사이클은 독립적입니다. 한 방향의 모든 포지션이 사라지면 그 방향 사이클은 종료되고 이후 진입은 종료된 적자를 이월하지 않는 새 사이클입니다.</w:t>
      </w:r>
    </w:p>
    <w:p>
      <w:pPr>
        <w:pStyle w:val="ListBullet"/>
      </w:pPr>
      <w:r>
        <w:t>D'Alembert는 Fixed Lot, Grid_Disabled, DAlembertStep&gt;0 전용입니다.</w:t>
      </w:r>
    </w:p>
    <w:p>
      <w:pPr>
        <w:pStyle w:val="ListBullet"/>
      </w:pPr>
      <w:r>
        <w:t>Martingale은 MaxMartingaleSteps/MaxMartingaleLot을 따릅니다.</w:t>
      </w:r>
    </w:p>
    <w:p>
      <w:pPr>
        <w:pStyle w:val="ListBullet"/>
      </w:pPr>
      <w:r>
        <w:t>OnOppositeOrder는 hedging, 양방향, grid 비활성이 필요합니다.</w:t>
      </w:r>
    </w:p>
    <w:p>
      <w:pPr>
        <w:pStyle w:val="ListBullet"/>
      </w:pPr>
      <w:r>
        <w:t>News backtest는 Common\Files CSV가 필요합니다.</w:t>
      </w:r>
    </w:p>
    <w:p>
      <w:pPr>
        <w:pStyle w:val="ListBullet"/>
      </w:pPr>
      <w:r>
        <w:t>일정은 브로커 서버 시간을 사용합니다.</w:t>
      </w:r>
    </w:p>
    <w:p>
      <w:pPr>
        <w:pStyle w:val="ListBullet"/>
      </w:pPr>
      <w:r>
        <w:t>브로커별 suffix와 심볼 사양을 확인합니다.</w:t>
      </w:r>
    </w:p>
    <w:p>
      <w:pPr>
        <w:pStyle w:val="Heading2"/>
      </w:pPr>
      <w:r>
        <w:rPr>
          <w:color w:val="1E3A5F"/>
        </w:rPr>
        <w:t>검색된 set 라이브러리</w:t>
      </w:r>
    </w:p>
    <w:p>
      <w:r>
        <w:t>개수는 파일과 매니페스트에서 읽습니다. 각 set은 연구 가설입니다. Counts and fingerprints were read at generation time.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Folder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01_Forex</w:t>
            </w:r>
          </w:p>
        </w:tc>
        <w:tc>
          <w:tcPr>
            <w:tcW w:type="dxa" w:w="2880"/>
          </w:tcPr>
          <w:p>
            <w:r>
              <w:t>168</w:t>
            </w:r>
          </w:p>
        </w:tc>
        <w:tc>
          <w:tcPr>
            <w:tcW w:type="dxa" w:w="2880"/>
          </w:tcPr>
          <w:p>
            <w:r>
              <w:t>Per-asset baselines — Forex.</w:t>
            </w:r>
          </w:p>
        </w:tc>
      </w:tr>
      <w:tr>
        <w:tc>
          <w:tcPr>
            <w:tcW w:type="dxa" w:w="2880"/>
          </w:tcPr>
          <w:p>
            <w:r>
              <w:t>02_Metals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Per-asset baselines — Metals.</w:t>
            </w:r>
          </w:p>
        </w:tc>
      </w:tr>
      <w:tr>
        <w:tc>
          <w:tcPr>
            <w:tcW w:type="dxa" w:w="2880"/>
          </w:tcPr>
          <w:p>
            <w:r>
              <w:t>03_Cryptocurrencies</w:t>
            </w:r>
          </w:p>
        </w:tc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Per-asset baselines — Cryptocurrencies.</w:t>
            </w:r>
          </w:p>
        </w:tc>
      </w:tr>
      <w:tr>
        <w:tc>
          <w:tcPr>
            <w:tcW w:type="dxa" w:w="2880"/>
          </w:tcPr>
          <w:p>
            <w:r>
              <w:t>04_Indices_Energies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Per-asset baselines — Indices Energies.</w:t>
            </w:r>
          </w:p>
        </w:tc>
      </w:tr>
      <w:tr>
        <w:tc>
          <w:tcPr>
            <w:tcW w:type="dxa" w:w="2880"/>
          </w:tcPr>
          <w:p>
            <w:r>
              <w:t>05_US_Stocks_CFD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Per-asset baselines — US Stocks CFD.</w:t>
            </w:r>
          </w:p>
        </w:tc>
      </w:tr>
      <w:tr>
        <w:tc>
          <w:tcPr>
            <w:tcW w:type="dxa" w:w="2880"/>
          </w:tcPr>
          <w:p>
            <w:r>
              <w:t>06_Research_Matrix</w:t>
            </w:r>
          </w:p>
        </w:tc>
        <w:tc>
          <w:tcPr>
            <w:tcW w:type="dxa" w:w="2880"/>
          </w:tcPr>
          <w:p>
            <w:r>
              <w:t>935</w:t>
            </w:r>
          </w:p>
        </w:tc>
        <w:tc>
          <w:tcPr>
            <w:tcW w:type="dxa" w:w="2880"/>
          </w:tcPr>
          <w:p>
            <w:r>
              <w:t>Controlled one-axis research.</w:t>
            </w:r>
          </w:p>
        </w:tc>
      </w:tr>
      <w:tr>
        <w:tc>
          <w:tcPr>
            <w:tcW w:type="dxa" w:w="2880"/>
          </w:tcPr>
          <w:p>
            <w:r>
              <w:t>07_Entry_System_Matrix</w:t>
            </w:r>
          </w:p>
        </w:tc>
        <w:tc>
          <w:tcPr>
            <w:tcW w:type="dxa" w:w="2880"/>
          </w:tcPr>
          <w:p>
            <w:r>
              <w:t>3360</w:t>
            </w:r>
          </w:p>
        </w:tc>
        <w:tc>
          <w:tcPr>
            <w:tcW w:type="dxa" w:w="2880"/>
          </w:tcPr>
          <w:p>
            <w:r>
              <w:t>Indicator × entry method × management matrix.</w:t>
            </w:r>
          </w:p>
        </w:tc>
      </w:tr>
      <w:tr>
        <w:tc>
          <w:tcPr>
            <w:tcW w:type="dxa" w:w="2880"/>
          </w:tcPr>
          <w:p>
            <w:r>
              <w:t>08_Filter_Stack_Matrix</w:t>
            </w:r>
          </w:p>
        </w:tc>
        <w:tc>
          <w:tcPr>
            <w:tcW w:type="dxa" w:w="2880"/>
          </w:tcPr>
          <w:p>
            <w:r>
              <w:t>320</w:t>
            </w:r>
          </w:p>
        </w:tc>
        <w:tc>
          <w:tcPr>
            <w:tcW w:type="dxa" w:w="2880"/>
          </w:tcPr>
          <w:p>
            <w:r>
              <w:t>Signal-filter stack combinations.</w:t>
            </w:r>
          </w:p>
        </w:tc>
      </w:tr>
      <w:tr>
        <w:tc>
          <w:tcPr>
            <w:tcW w:type="dxa" w:w="2880"/>
          </w:tcPr>
          <w:p>
            <w:r>
              <w:t>09_Risk_Engine_Matrix</w:t>
            </w:r>
          </w:p>
        </w:tc>
        <w:tc>
          <w:tcPr>
            <w:tcW w:type="dxa" w:w="2880"/>
          </w:tcPr>
          <w:p>
            <w:r>
              <w:t>130</w:t>
            </w:r>
          </w:p>
        </w:tc>
        <w:tc>
          <w:tcPr>
            <w:tcW w:type="dxa" w:w="2880"/>
          </w:tcPr>
          <w:p>
            <w:r>
              <w:t>Compatible sizing, risk and recovery models.</w:t>
            </w:r>
          </w:p>
        </w:tc>
      </w:tr>
      <w:tr>
        <w:tc>
          <w:tcPr>
            <w:tcW w:type="dxa" w:w="2880"/>
          </w:tcPr>
          <w:p>
            <w:r>
              <w:t>10_Exit_Stack_Matrix</w:t>
            </w:r>
          </w:p>
        </w:tc>
        <w:tc>
          <w:tcPr>
            <w:tcW w:type="dxa" w:w="2880"/>
          </w:tcPr>
          <w:p>
            <w:r>
              <w:t>720</w:t>
            </w:r>
          </w:p>
        </w:tc>
        <w:tc>
          <w:tcPr>
            <w:tcW w:type="dxa" w:w="2880"/>
          </w:tcPr>
          <w:p>
            <w:r>
              <w:t>Exit-control stack combinations.</w:t>
            </w:r>
          </w:p>
        </w:tc>
      </w:tr>
    </w:tbl>
    <w:p>
      <w:pPr>
        <w:pStyle w:val="Heading2"/>
      </w:pPr>
      <w:r>
        <w:rPr>
          <w:color w:val="1E3A5F"/>
        </w:rPr>
        <w:t>위험 경고</w:t>
      </w:r>
    </w:p>
    <w:p>
      <w:r>
        <w:t>EA, set, 과거 결과는 미래 성과를 보장하지 않습니다. OOS와 demo로 검증하십시오.</w:t>
      </w:r>
    </w:p>
    <w:p>
      <w:pPr>
        <w:pStyle w:val="Heading2"/>
      </w:pPr>
      <w:r>
        <w:rPr>
          <w:color w:val="1E3A5F"/>
        </w:rPr>
        <w:t>전체 inputs 참조</w:t>
      </w:r>
    </w:p>
    <w:p>
      <w:r>
        <w:t>표는 소스 선언 순서이며 구분 문자열도 .set schema에 포함됩니다.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No.</w:t>
            </w:r>
          </w:p>
        </w:tc>
        <w:tc>
          <w:tcPr>
            <w:tcW w:type="dxa" w:w="960"/>
          </w:tcPr>
          <w:p>
            <w:r>
              <w:t>Section</w:t>
            </w:r>
          </w:p>
        </w:tc>
        <w:tc>
          <w:tcPr>
            <w:tcW w:type="dxa" w:w="960"/>
          </w:tcPr>
          <w:p>
            <w:r>
              <w:t>Subsection</w:t>
            </w:r>
          </w:p>
        </w:tc>
        <w:tc>
          <w:tcPr>
            <w:tcW w:type="dxa" w:w="960"/>
          </w:tcPr>
          <w:p>
            <w:r>
              <w:t>Parameter</w:t>
            </w:r>
          </w:p>
        </w:tc>
        <w:tc>
          <w:tcPr>
            <w:tcW w:type="dxa" w:w="960"/>
          </w:tcPr>
          <w:p>
            <w:r>
              <w:t>Type</w:t>
            </w:r>
          </w:p>
        </w:tc>
        <w:tc>
          <w:tcPr>
            <w:tcW w:type="dxa" w:w="960"/>
          </w:tcPr>
          <w:p>
            <w:r>
              <w:t>Default</w:t>
            </w:r>
          </w:p>
        </w:tc>
        <w:tc>
          <w:tcPr>
            <w:tcW w:type="dxa" w:w="960"/>
          </w:tcPr>
          <w:p>
            <w:r>
              <w:t>Source description</w:t>
            </w:r>
          </w:p>
        </w:tc>
        <w:tc>
          <w:tcPr>
            <w:tcW w:type="dxa" w:w="960"/>
          </w:tcPr>
          <w:p>
            <w:r>
              <w:t>Enum options</w:t>
            </w:r>
          </w:p>
        </w:tc>
        <w:tc>
          <w:tcPr>
            <w:tcW w:type="dxa" w:w="960"/>
          </w:tcPr>
          <w:p>
            <w:r>
              <w:t>Operational notes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General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NomedaEstrategia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"White Rabbit X"</w:t>
            </w:r>
          </w:p>
        </w:tc>
        <w:tc>
          <w:tcPr>
            <w:tcW w:type="dxa" w:w="960"/>
          </w:tcPr>
          <w:p>
            <w:r>
              <w:t>Strategy Name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Entry timeframe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Signal evaluation is gated to one decision per closed bar of this timeframe.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myBlankSpaceEntryIndicator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Entry Indicator ==================\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EntryIndicator</w:t>
            </w:r>
          </w:p>
        </w:tc>
        <w:tc>
          <w:tcPr>
            <w:tcW w:type="dxa" w:w="960"/>
          </w:tcPr>
          <w:p>
            <w:r>
              <w:t>ENUM_ENTRY_INDICATOR</w:t>
            </w:r>
          </w:p>
        </w:tc>
        <w:tc>
          <w:tcPr>
            <w:tcW w:type="dxa" w:w="960"/>
          </w:tcPr>
          <w:p>
            <w:r>
              <w:t>EntryIndicator_MACD</w:t>
            </w:r>
          </w:p>
        </w:tc>
        <w:tc>
          <w:tcPr>
            <w:tcW w:type="dxa" w:w="960"/>
          </w:tcPr>
          <w:p>
            <w:r>
              <w:t>Selects the indicator used by Entry Method</w:t>
            </w:r>
          </w:p>
        </w:tc>
        <w:tc>
          <w:tcPr>
            <w:tcW w:type="dxa" w:w="960"/>
          </w:tcPr>
          <w:p>
            <w:r>
              <w:t>EntryIndicator_MACD, EntryIndicator_EMA_Cross, EntryIndicator_Momentum, EntryIndicator_Stochastic, EntryIndicator_TRIX, EntryIndicator_RSI, EntryIndicator_CCI, EntryIndicator_WPR, EntryIndicator_DeMarker, EntryIndicator_MFI, EntryIndicator_OsMA, EntryIndicator_Ichimoku</w:t>
            </w:r>
          </w:p>
        </w:tc>
        <w:tc>
          <w:tcPr>
            <w:tcW w:type="dxa" w:w="960"/>
          </w:tcPr>
          <w:p>
            <w:r>
              <w:t>Selects the engine; Fast_EMA, Slow_EMA and MACD_SMA are reused by that engine.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InpAppliedPrice</w:t>
            </w:r>
          </w:p>
        </w:tc>
        <w:tc>
          <w:tcPr>
            <w:tcW w:type="dxa" w:w="960"/>
          </w:tcPr>
          <w:p>
            <w:r>
              <w:t>ENUM_APPLIED_PRICE</w:t>
            </w:r>
          </w:p>
        </w:tc>
        <w:tc>
          <w:tcPr>
            <w:tcW w:type="dxa" w:w="960"/>
          </w:tcPr>
          <w:p>
            <w:r>
              <w:t>PRICE_CLOSE</w:t>
            </w:r>
          </w:p>
        </w:tc>
        <w:tc>
          <w:tcPr>
            <w:tcW w:type="dxa" w:w="960"/>
          </w:tcPr>
          <w:p>
            <w:r>
              <w:t>Applied price used by the selected indicator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Fast_EMA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First period: MACD/EMA fast; oscillator period; Stochastic %K; Ichimoku Tenkan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First sequential period; for Ichimoku this is Tenkan.</w:t>
            </w:r>
          </w:p>
        </w:tc>
      </w:tr>
      <w:tr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Slow_EMA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Second period: MACD/EMA slow; Ichimoku Kijun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Second sequential period; for Ichimoku this is Kijun.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MACD_SMA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Third period: MACD signal; oscillator signal; Stochastic %D; Ichimoku Senkou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Third sequential period; for Ichimoku this is Senkou Span B.</w:t>
            </w:r>
          </w:p>
        </w:tc>
      </w:tr>
      <w:tr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Method</w:t>
            </w:r>
          </w:p>
        </w:tc>
        <w:tc>
          <w:tcPr>
            <w:tcW w:type="dxa" w:w="960"/>
          </w:tcPr>
          <w:p>
            <w:r>
              <w:t>myBlankSpace1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Entry Method =======================\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Method</w:t>
            </w:r>
          </w:p>
        </w:tc>
        <w:tc>
          <w:tcPr>
            <w:tcW w:type="dxa" w:w="960"/>
          </w:tcPr>
          <w:p>
            <w:r>
              <w:t>EntryMethod</w:t>
            </w:r>
          </w:p>
        </w:tc>
        <w:tc>
          <w:tcPr>
            <w:tcW w:type="dxa" w:w="960"/>
          </w:tcPr>
          <w:p>
            <w:r>
              <w:t>ENUM_ENTRY_TRIGGER_MODE</w:t>
            </w:r>
          </w:p>
        </w:tc>
        <w:tc>
          <w:tcPr>
            <w:tcW w:type="dxa" w:w="960"/>
          </w:tcPr>
          <w:p>
            <w:r>
              <w:t>EntryTrigger_All</w:t>
            </w:r>
          </w:p>
        </w:tc>
        <w:tc>
          <w:tcPr>
            <w:tcW w:type="dxa" w:w="960"/>
          </w:tcPr>
          <w:p>
            <w:r>
              <w:t>Reversal, signal cross, reference cross or their combinations</w:t>
            </w:r>
          </w:p>
        </w:tc>
        <w:tc>
          <w:tcPr>
            <w:tcW w:type="dxa" w:w="960"/>
          </w:tcPr>
          <w:p>
            <w:r>
              <w:t>EntryTrigger_Reversal, EntryTrigger_SignalCross, EntryTrigger_ReferenceCross, EntryTrigger_ReversalAndSignalCross, EntryTrigger_ReversalAndReferenceCross, EntryTrigger_SignalAndReferenceCross, EntryTrigger_All</w:t>
            </w:r>
          </w:p>
        </w:tc>
        <w:tc>
          <w:tcPr>
            <w:tcW w:type="dxa" w:w="960"/>
          </w:tcPr>
          <w:p>
            <w:r>
              <w:t>And modes require both events on the same closed bar; All is OR.</w:t>
            </w:r>
          </w:p>
        </w:tc>
      </w:tr>
      <w:tr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ATR Settings</w:t>
            </w:r>
          </w:p>
        </w:tc>
        <w:tc>
          <w:tcPr>
            <w:tcW w:type="dxa" w:w="960"/>
          </w:tcPr>
          <w:p>
            <w:r>
              <w:t>myBlankSpace42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ATR Settings =====================\</w:t>
            </w:r>
          </w:p>
        </w:tc>
      </w:tr>
      <w:tr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ATR Settings</w:t>
            </w:r>
          </w:p>
        </w:tc>
        <w:tc>
          <w:tcPr>
            <w:tcW w:type="dxa" w:w="960"/>
          </w:tcPr>
          <w:p>
            <w:r>
              <w:t>ATR_TimeFrame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Time Frame ATR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ATR Settings</w:t>
            </w:r>
          </w:p>
        </w:tc>
        <w:tc>
          <w:tcPr>
            <w:tcW w:type="dxa" w:w="960"/>
          </w:tcPr>
          <w:p>
            <w:r>
              <w:t>PeriodoATR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ATR Period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myBlankSpace4s2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====================== Stop Loss ======================\</w:t>
            </w:r>
          </w:p>
        </w:tc>
      </w:tr>
      <w:tr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AtivarStop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Enable Stop Loss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Required by Percentage and Fixed-R sizing; recommended for every non-grid baseline.</w:t>
            </w:r>
          </w:p>
        </w:tc>
      </w:tr>
      <w:tr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VelaStop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Stop Loss Candle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Stop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Stop Loss ATR Multiplier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myBlankSpace101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Take Profit =====================\</w:t>
            </w:r>
          </w:p>
        </w:tc>
      </w:tr>
      <w:tr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TakeOrganico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Organic ATR Take Profit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AtivarTake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Enable Take Profit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Required by supported grid operation.</w:t>
            </w:r>
          </w:p>
        </w:tc>
      </w:tr>
      <w:tr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VelaTake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Take Profit Candle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Take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Take Profit ATR Multiplier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MTF Alignment</w:t>
            </w:r>
          </w:p>
        </w:tc>
        <w:tc>
          <w:tcPr>
            <w:tcW w:type="dxa" w:w="960"/>
          </w:tcPr>
          <w:p>
            <w:r>
              <w:t>myBlankSpaceMTF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MTF Alignment ====================\</w:t>
            </w:r>
          </w:p>
        </w:tc>
      </w:tr>
      <w:tr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MTF Alignment</w:t>
            </w:r>
          </w:p>
        </w:tc>
        <w:tc>
          <w:tcPr>
            <w:tcW w:type="dxa" w:w="960"/>
          </w:tcPr>
          <w:p>
            <w:r>
              <w:t>AtivarFiltroMTF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MTF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Higher-timeframe alignment uses the EA's MACD trend layer.</w:t>
            </w:r>
          </w:p>
        </w:tc>
      </w:tr>
      <w:tr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MTF Alignment</w:t>
            </w:r>
          </w:p>
        </w:tc>
        <w:tc>
          <w:tcPr>
            <w:tcW w:type="dxa" w:w="960"/>
          </w:tcPr>
          <w:p>
            <w:r>
              <w:t>MTF_RequererAmbos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Require Both Higher Timeframes Aligned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myBlankSpaceMA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 Moving Average Filter ================\</w:t>
            </w:r>
          </w:p>
        </w:tc>
      </w:tr>
      <w:tr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AtivarFiltroMA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Moving Average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MA Timeframe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MA_Period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MA Period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MA_Method</w:t>
            </w:r>
          </w:p>
        </w:tc>
        <w:tc>
          <w:tcPr>
            <w:tcW w:type="dxa" w:w="960"/>
          </w:tcPr>
          <w:p>
            <w:r>
              <w:t>ENUM_MA_METHOD</w:t>
            </w:r>
          </w:p>
        </w:tc>
        <w:tc>
          <w:tcPr>
            <w:tcW w:type="dxa" w:w="960"/>
          </w:tcPr>
          <w:p>
            <w:r>
              <w:t>MODE_EMA</w:t>
            </w:r>
          </w:p>
        </w:tc>
        <w:tc>
          <w:tcPr>
            <w:tcW w:type="dxa" w:w="960"/>
          </w:tcPr>
          <w:p>
            <w:r>
              <w:t>MA Method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MA_AppliedPrice</w:t>
            </w:r>
          </w:p>
        </w:tc>
        <w:tc>
          <w:tcPr>
            <w:tcW w:type="dxa" w:w="960"/>
          </w:tcPr>
          <w:p>
            <w:r>
              <w:t>ENUM_APPLIED_PRICE</w:t>
            </w:r>
          </w:p>
        </w:tc>
        <w:tc>
          <w:tcPr>
            <w:tcW w:type="dxa" w:w="960"/>
          </w:tcPr>
          <w:p>
            <w:r>
              <w:t>PRICE_CLOSE</w:t>
            </w:r>
          </w:p>
        </w:tc>
        <w:tc>
          <w:tcPr>
            <w:tcW w:type="dxa" w:w="960"/>
          </w:tcPr>
          <w:p>
            <w:r>
              <w:t>Applied Price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32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MetodoMA</w:t>
            </w:r>
          </w:p>
        </w:tc>
        <w:tc>
          <w:tcPr>
            <w:tcW w:type="dxa" w:w="960"/>
          </w:tcPr>
          <w:p>
            <w:r>
              <w:t>MetodoFiltroMA</w:t>
            </w:r>
          </w:p>
        </w:tc>
        <w:tc>
          <w:tcPr>
            <w:tcW w:type="dxa" w:w="960"/>
          </w:tcPr>
          <w:p>
            <w:r>
              <w:t>MA_PrecoEInclinacao</w:t>
            </w:r>
          </w:p>
        </w:tc>
        <w:tc>
          <w:tcPr>
            <w:tcW w:type="dxa" w:w="960"/>
          </w:tcPr>
          <w:p>
            <w:r>
              <w:t>Price and Slope Rule</w:t>
            </w:r>
          </w:p>
        </w:tc>
        <w:tc>
          <w:tcPr>
            <w:tcW w:type="dxa" w:w="960"/>
          </w:tcPr>
          <w:p>
            <w:r>
              <w:t>MA_ApenasPreco, MA_ApenasInclinacao, MA_PrecoEInclinacao, MA_PrecoOuInclinacao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SentidoMA</w:t>
            </w:r>
          </w:p>
        </w:tc>
        <w:tc>
          <w:tcPr>
            <w:tcW w:type="dxa" w:w="960"/>
          </w:tcPr>
          <w:p>
            <w:r>
              <w:t>SentidoFiltroMA</w:t>
            </w:r>
          </w:p>
        </w:tc>
        <w:tc>
          <w:tcPr>
            <w:tcW w:type="dxa" w:w="960"/>
          </w:tcPr>
          <w:p>
            <w:r>
              <w:t>MA_Tendencia</w:t>
            </w:r>
          </w:p>
        </w:tc>
        <w:tc>
          <w:tcPr>
            <w:tcW w:type="dxa" w:w="960"/>
          </w:tcPr>
          <w:p>
            <w:r>
              <w:t>Trend or Reversal Direction</w:t>
            </w:r>
          </w:p>
        </w:tc>
        <w:tc>
          <w:tcPr>
            <w:tcW w:type="dxa" w:w="960"/>
          </w:tcPr>
          <w:p>
            <w:r>
              <w:t>MA_Tendencia, MA_Reversao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34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MA_SlopeLookback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Slope Lookback Bars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35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myBlankSpaceMA1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ADX Filter ======================\</w:t>
            </w:r>
          </w:p>
        </w:tc>
      </w:tr>
      <w:tr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AtivarFiltroADX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ADX Trend Strength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37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ADX_TimeFrame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ADX Timeframe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38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ADX_Period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ADX Period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39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ADX_Limiar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Minimum ADX Value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40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MetodoADX</w:t>
            </w:r>
          </w:p>
        </w:tc>
        <w:tc>
          <w:tcPr>
            <w:tcW w:type="dxa" w:w="960"/>
          </w:tcPr>
          <w:p>
            <w:r>
              <w:t>MetodoFiltroADX</w:t>
            </w:r>
          </w:p>
        </w:tc>
        <w:tc>
          <w:tcPr>
            <w:tcW w:type="dxa" w:w="960"/>
          </w:tcPr>
          <w:p>
            <w:r>
              <w:t>ADX_ApenasForca</w:t>
            </w:r>
          </w:p>
        </w:tc>
        <w:tc>
          <w:tcPr>
            <w:tcW w:type="dxa" w:w="960"/>
          </w:tcPr>
          <w:p>
            <w:r>
              <w:t>Strength or Strength Plus Direction</w:t>
            </w:r>
          </w:p>
        </w:tc>
        <w:tc>
          <w:tcPr>
            <w:tcW w:type="dxa" w:w="960"/>
          </w:tcPr>
          <w:p>
            <w:r>
              <w:t>ADX_ApenasForca, ADX_ForcaMaisDirecaoDI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41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Volatility Filter</w:t>
            </w:r>
          </w:p>
        </w:tc>
        <w:tc>
          <w:tcPr>
            <w:tcW w:type="dxa" w:w="960"/>
          </w:tcPr>
          <w:p>
            <w:r>
              <w:t>myBlankSpaceVolatility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Volatility Filter ==================\</w:t>
            </w:r>
          </w:p>
        </w:tc>
      </w:tr>
      <w:tr>
        <w:tc>
          <w:tcPr>
            <w:tcW w:type="dxa" w:w="960"/>
          </w:tcPr>
          <w:p>
            <w:r>
              <w:t>42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Volatility Filter</w:t>
            </w:r>
          </w:p>
        </w:tc>
        <w:tc>
          <w:tcPr>
            <w:tcW w:type="dxa" w:w="960"/>
          </w:tcPr>
          <w:p>
            <w:r>
              <w:t>EntradaATR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ATR Volatility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43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Volatility Filter</w:t>
            </w:r>
          </w:p>
        </w:tc>
        <w:tc>
          <w:tcPr>
            <w:tcW w:type="dxa" w:w="960"/>
          </w:tcPr>
          <w:p>
            <w:r>
              <w:t>VolatilityFilter</w:t>
            </w:r>
          </w:p>
        </w:tc>
        <w:tc>
          <w:tcPr>
            <w:tcW w:type="dxa" w:w="960"/>
          </w:tcPr>
          <w:p>
            <w:r>
              <w:t>ENUM_VOLATILITY_MODE</w:t>
            </w:r>
          </w:p>
        </w:tc>
        <w:tc>
          <w:tcPr>
            <w:tcW w:type="dxa" w:w="960"/>
          </w:tcPr>
          <w:p>
            <w:r>
              <w:t>VOL_HIGH</w:t>
            </w:r>
          </w:p>
        </w:tc>
        <w:tc>
          <w:tcPr>
            <w:tcW w:type="dxa" w:w="960"/>
          </w:tcPr>
          <w:p>
            <w:r>
              <w:t>Trade Volatility Condition</w:t>
            </w:r>
          </w:p>
        </w:tc>
        <w:tc>
          <w:tcPr>
            <w:tcW w:type="dxa" w:w="960"/>
          </w:tcPr>
          <w:p>
            <w:r>
              <w:t>VOL_LOW, VOL_HIGH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44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myBlankSpaceNews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News Filter =====================\</w:t>
            </w:r>
          </w:p>
        </w:tc>
      </w:tr>
      <w:tr>
        <w:tc>
          <w:tcPr>
            <w:tcW w:type="dxa" w:w="960"/>
          </w:tcPr>
          <w:p>
            <w:r>
              <w:t>45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AtivarFiltroNoticias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News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Live calendar errors block new entries; backtests require the exported CSV under Common\\Files.</w:t>
            </w:r>
          </w:p>
        </w:tc>
      </w:tr>
      <w:tr>
        <w:tc>
          <w:tcPr>
            <w:tcW w:type="dxa" w:w="960"/>
          </w:tcPr>
          <w:p>
            <w:r>
              <w:t>46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NewsSomenteAltoImpacto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High Impact Only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47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NewsMinutosAntes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Minutes Blocked Before Event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48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NewsMinutosDepois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Minutes Blocked After Event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49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NewsMoedasManual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Manual Currencies (e.g. "USD,EUR"); empty = auto by symbol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When non-empty, overrides automatic currency extraction; required for most suffixed/non-FX symbols.</w:t>
            </w:r>
          </w:p>
        </w:tc>
      </w:tr>
      <w:tr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NewsCSVFile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"WhiteRabbit_News.csv"</w:t>
            </w:r>
          </w:p>
        </w:tc>
        <w:tc>
          <w:tcPr>
            <w:tcW w:type="dxa" w:w="960"/>
          </w:tcPr>
          <w:p>
            <w:r>
              <w:t>Common\\Files CSV for Backtests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Semicolon CSV in Common\\Files: datetime;currency;importance;event_name, using broker-server time.</w:t>
            </w:r>
          </w:p>
        </w:tc>
      </w:tr>
      <w:tr>
        <w:tc>
          <w:tcPr>
            <w:tcW w:type="dxa" w:w="960"/>
          </w:tcPr>
          <w:p>
            <w:r>
              <w:t>51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AtivarBreakeven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Enable Breakeven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52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BreakevenDistancia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1.0</w:t>
            </w:r>
          </w:p>
        </w:tc>
        <w:tc>
          <w:tcPr>
            <w:tcW w:type="dxa" w:w="960"/>
          </w:tcPr>
          <w:p>
            <w:r>
              <w:t>Breakeven Distance (SL or ATR Stop Multiplier)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53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myBlankSpace46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ATR Trailing =====================\</w:t>
            </w:r>
          </w:p>
        </w:tc>
      </w:tr>
      <w:tr>
        <w:tc>
          <w:tcPr>
            <w:tcW w:type="dxa" w:w="960"/>
          </w:tcPr>
          <w:p>
            <w:r>
              <w:t>54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AtivarTrailATR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ATR Trailing Stop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55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MetodoDeCalculo</w:t>
            </w:r>
          </w:p>
        </w:tc>
        <w:tc>
          <w:tcPr>
            <w:tcW w:type="dxa" w:w="960"/>
          </w:tcPr>
          <w:p>
            <w:r>
              <w:t>Candlesticktype</w:t>
            </w:r>
          </w:p>
        </w:tc>
        <w:tc>
          <w:tcPr>
            <w:tcW w:type="dxa" w:w="960"/>
          </w:tcPr>
          <w:p>
            <w:r>
              <w:t>CandleClose</w:t>
            </w:r>
          </w:p>
        </w:tc>
        <w:tc>
          <w:tcPr>
            <w:tcW w:type="dxa" w:w="960"/>
          </w:tcPr>
          <w:p>
            <w:r>
              <w:t>Trailing Price Source</w:t>
            </w:r>
          </w:p>
        </w:tc>
        <w:tc>
          <w:tcPr>
            <w:tcW w:type="dxa" w:w="960"/>
          </w:tcPr>
          <w:p>
            <w:r>
              <w:t>CandleOpen, CandleClose, CandleHigh, CandleLow, Preco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56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TrailVela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Trailing Candle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57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Trail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Trail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58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Reversal Exit</w:t>
            </w:r>
          </w:p>
        </w:tc>
        <w:tc>
          <w:tcPr>
            <w:tcW w:type="dxa" w:w="960"/>
          </w:tcPr>
          <w:p>
            <w:r>
              <w:t>myBlankSpace10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Reversal Exit ====================\</w:t>
            </w:r>
          </w:p>
        </w:tc>
      </w:tr>
      <w:tr>
        <w:tc>
          <w:tcPr>
            <w:tcW w:type="dxa" w:w="960"/>
          </w:tcPr>
          <w:p>
            <w:r>
              <w:t>59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Reversal Exit</w:t>
            </w:r>
          </w:p>
        </w:tc>
        <w:tc>
          <w:tcPr>
            <w:tcW w:type="dxa" w:w="960"/>
          </w:tcPr>
          <w:p>
            <w:r>
              <w:t>ReversalExitMode</w:t>
            </w:r>
          </w:p>
        </w:tc>
        <w:tc>
          <w:tcPr>
            <w:tcW w:type="dxa" w:w="960"/>
          </w:tcPr>
          <w:p>
            <w:r>
              <w:t>ENUM_REVERSAL_EXIT_MODE</w:t>
            </w:r>
          </w:p>
        </w:tc>
        <w:tc>
          <w:tcPr>
            <w:tcW w:type="dxa" w:w="960"/>
          </w:tcPr>
          <w:p>
            <w:r>
              <w:t>ReversalExit_OnIndicatorSignal</w:t>
            </w:r>
          </w:p>
        </w:tc>
        <w:tc>
          <w:tcPr>
            <w:tcW w:type="dxa" w:w="960"/>
          </w:tcPr>
          <w:p>
            <w:r>
              <w:t>Declared at source line 319.</w:t>
            </w:r>
          </w:p>
        </w:tc>
        <w:tc>
          <w:tcPr>
            <w:tcW w:type="dxa" w:w="960"/>
          </w:tcPr>
          <w:p>
            <w:r>
              <w:t>ReversalExit_Disabled, ReversalExit_OnOppositeOrder, ReversalExit_OnIndicatorSignal</w:t>
            </w:r>
          </w:p>
        </w:tc>
        <w:tc>
          <w:tcPr>
            <w:tcW w:type="dxa" w:w="960"/>
          </w:tcPr>
          <w:p>
            <w:r>
              <w:t>OnOppositeOrder requires a hedging account, both sides and grid disabled.</w:t>
            </w:r>
          </w:p>
        </w:tc>
      </w:tr>
      <w:tr>
        <w:tc>
          <w:tcPr>
            <w:tcW w:type="dxa" w:w="960"/>
          </w:tcPr>
          <w:p>
            <w:r>
              <w:t>60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Reversal Exit</w:t>
            </w:r>
          </w:p>
        </w:tc>
        <w:tc>
          <w:tcPr>
            <w:tcW w:type="dxa" w:w="960"/>
          </w:tcPr>
          <w:p>
            <w:r>
              <w:t>ReversalExitUseEntryFilters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Apply entry filters to indicator exits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False uses the raw opposite indicator signal; true also requires entry filters.</w:t>
            </w:r>
          </w:p>
        </w:tc>
      </w:tr>
      <w:tr>
        <w:tc>
          <w:tcPr>
            <w:tcW w:type="dxa" w:w="960"/>
          </w:tcPr>
          <w:p>
            <w:r>
              <w:t>61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TradeCapitalPercentage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Percentage of Total Capital Allocated to EA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Allocation must be positive and no greater than the whole EA capital base.</w:t>
            </w:r>
          </w:p>
        </w:tc>
      </w:tr>
      <w:tr>
        <w:tc>
          <w:tcPr>
            <w:tcW w:type="dxa" w:w="960"/>
          </w:tcPr>
          <w:p>
            <w:r>
              <w:t>62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PositionSizeMode</w:t>
            </w:r>
          </w:p>
        </w:tc>
        <w:tc>
          <w:tcPr>
            <w:tcW w:type="dxa" w:w="960"/>
          </w:tcPr>
          <w:p>
            <w:r>
              <w:t>ENUM_POSITION_SIZE_MODE</w:t>
            </w:r>
          </w:p>
        </w:tc>
        <w:tc>
          <w:tcPr>
            <w:tcW w:type="dxa" w:w="960"/>
          </w:tcPr>
          <w:p>
            <w:r>
              <w:t>PositionSize_FixedLot</w:t>
            </w:r>
          </w:p>
        </w:tc>
        <w:tc>
          <w:tcPr>
            <w:tcW w:type="dxa" w:w="960"/>
          </w:tcPr>
          <w:p>
            <w:r>
              <w:t>Declared at source line 351.</w:t>
            </w:r>
          </w:p>
        </w:tc>
        <w:tc>
          <w:tcPr>
            <w:tcW w:type="dxa" w:w="960"/>
          </w:tcPr>
          <w:p>
            <w:r>
              <w:t>PositionSize_Percentage, PositionSize_Monetary, PositionSize_FixedLot, PositionSize_FixedR</w:t>
            </w:r>
          </w:p>
        </w:tc>
        <w:tc>
          <w:tcPr>
            <w:tcW w:type="dxa" w:w="960"/>
          </w:tcPr>
          <w:p>
            <w:r>
              <w:t>Exactly one model is active; compatibility depends on stop and grid selections.</w:t>
            </w:r>
          </w:p>
        </w:tc>
      </w:tr>
      <w:tr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PositionSizeValue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0.01</w:t>
            </w:r>
          </w:p>
        </w:tc>
        <w:tc>
          <w:tcPr>
            <w:tcW w:type="dxa" w:w="960"/>
          </w:tcPr>
          <w:p>
            <w:r>
              <w:t>Percentage=% risk; Monetary=currency per 1.00 lot; Fixed Lot=lots; Fixed R=% of base capital per 1R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Meaning changes with PositionSizeMode; never compare raw values across modes.</w:t>
            </w:r>
          </w:p>
        </w:tc>
      </w:tr>
      <w:tr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Fixed-R Controls</w:t>
            </w:r>
          </w:p>
        </w:tc>
        <w:tc>
          <w:tcPr>
            <w:tcW w:type="dxa" w:w="960"/>
          </w:tcPr>
          <w:p>
            <w:r>
              <w:t>myBlankSpaceRF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Fixed-R Controls ===================\</w:t>
            </w:r>
          </w:p>
        </w:tc>
      </w:tr>
      <w:tr>
        <w:tc>
          <w:tcPr>
            <w:tcW w:type="dxa" w:w="960"/>
          </w:tcPr>
          <w:p>
            <w:r>
              <w:t>65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Fixed-R Controls</w:t>
            </w:r>
          </w:p>
        </w:tc>
        <w:tc>
          <w:tcPr>
            <w:tcW w:type="dxa" w:w="960"/>
          </w:tcPr>
          <w:p>
            <w:r>
              <w:t>CapitalBaseR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Base Capital for 1R (0 = balance at OnInit)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captures balance at initialization; Fixed-R only.</w:t>
            </w:r>
          </w:p>
        </w:tc>
      </w:tr>
      <w:tr>
        <w:tc>
          <w:tcPr>
            <w:tcW w:type="dxa" w:w="960"/>
          </w:tcPr>
          <w:p>
            <w:r>
              <w:t>66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Fixed-R Controls</w:t>
            </w:r>
          </w:p>
        </w:tc>
        <w:tc>
          <w:tcPr>
            <w:tcW w:type="dxa" w:w="960"/>
          </w:tcPr>
          <w:p>
            <w:r>
              <w:t>MaxRiscoTradeR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Maximum Risk per Trade in R (0 = no cap)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this additional Fixed-R cap.</w:t>
            </w:r>
          </w:p>
        </w:tc>
      </w:tr>
      <w:tr>
        <w:tc>
          <w:tcPr>
            <w:tcW w:type="dxa" w:w="960"/>
          </w:tcPr>
          <w:p>
            <w:r>
              <w:t>67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Daily Loss Limit</w:t>
            </w:r>
          </w:p>
        </w:tc>
        <w:tc>
          <w:tcPr>
            <w:tcW w:type="dxa" w:w="960"/>
          </w:tcPr>
          <w:p>
            <w:r>
              <w:t>myBlankSpaceDL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Daily Loss Limit ===================\</w:t>
            </w:r>
          </w:p>
        </w:tc>
      </w:tr>
      <w:tr>
        <w:tc>
          <w:tcPr>
            <w:tcW w:type="dxa" w:w="960"/>
          </w:tcPr>
          <w:p>
            <w:r>
              <w:t>68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Daily Loss Limit</w:t>
            </w:r>
          </w:p>
        </w:tc>
        <w:tc>
          <w:tcPr>
            <w:tcW w:type="dxa" w:w="960"/>
          </w:tcPr>
          <w:p>
            <w:r>
              <w:t>DailyLossLimitPercent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Maximum Daily Loss Percentage (0 = disabled)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daily limit; use a value below a total account loss.</w:t>
            </w:r>
          </w:p>
        </w:tc>
      </w:tr>
      <w:tr>
        <w:tc>
          <w:tcPr>
            <w:tcW w:type="dxa" w:w="960"/>
          </w:tcPr>
          <w:p>
            <w:r>
              <w:t>69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Equity/Margin Protection</w:t>
            </w:r>
          </w:p>
        </w:tc>
        <w:tc>
          <w:tcPr>
            <w:tcW w:type="dxa" w:w="960"/>
          </w:tcPr>
          <w:p>
            <w:r>
              <w:t>myBlankSpaceRiskProtection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 Equity/Margin Protection ===============\</w:t>
            </w:r>
          </w:p>
        </w:tc>
      </w:tr>
      <w:tr>
        <w:tc>
          <w:tcPr>
            <w:tcW w:type="dxa" w:w="960"/>
          </w:tcPr>
          <w:p>
            <w:r>
              <w:t>70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Equity/Margin Protection</w:t>
            </w:r>
          </w:p>
        </w:tc>
        <w:tc>
          <w:tcPr>
            <w:tcW w:type="dxa" w:w="960"/>
          </w:tcPr>
          <w:p>
            <w:r>
              <w:t>MaxEquityDrawdownPercent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30.0</w:t>
            </w:r>
          </w:p>
        </w:tc>
        <w:tc>
          <w:tcPr>
            <w:tcW w:type="dxa" w:w="960"/>
          </w:tcPr>
          <w:p>
            <w:r>
              <w:t>Maximum EA drawdown before closing positions (0 = disabled)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EA equity stop.</w:t>
            </w:r>
          </w:p>
        </w:tc>
      </w:tr>
      <w:tr>
        <w:tc>
          <w:tcPr>
            <w:tcW w:type="dxa" w:w="960"/>
          </w:tcPr>
          <w:p>
            <w:r>
              <w:t>71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Equity/Margin Protection</w:t>
            </w:r>
          </w:p>
        </w:tc>
        <w:tc>
          <w:tcPr>
            <w:tcW w:type="dxa" w:w="960"/>
          </w:tcPr>
          <w:p>
            <w:r>
              <w:t>MinFreeMarginPercent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50.0</w:t>
            </w:r>
          </w:p>
        </w:tc>
        <w:tc>
          <w:tcPr>
            <w:tcW w:type="dxa" w:w="960"/>
          </w:tcPr>
          <w:p>
            <w:r>
              <w:t>Minimum free margin to preserve after a new entry (0 = disabled)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post-entry free-margin reserve.</w:t>
            </w:r>
          </w:p>
        </w:tc>
      </w:tr>
      <w:tr>
        <w:tc>
          <w:tcPr>
            <w:tcW w:type="dxa" w:w="960"/>
          </w:tcPr>
          <w:p>
            <w:r>
              <w:t>72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RecoveryMode</w:t>
            </w:r>
          </w:p>
        </w:tc>
        <w:tc>
          <w:tcPr>
            <w:tcW w:type="dxa" w:w="960"/>
          </w:tcPr>
          <w:p>
            <w:r>
              <w:t>ENUM_RECOVERY_MODE</w:t>
            </w:r>
          </w:p>
        </w:tc>
        <w:tc>
          <w:tcPr>
            <w:tcW w:type="dxa" w:w="960"/>
          </w:tcPr>
          <w:p>
            <w:r>
              <w:t>Recovery_None</w:t>
            </w:r>
          </w:p>
        </w:tc>
        <w:tc>
          <w:tcPr>
            <w:tcW w:type="dxa" w:w="960"/>
          </w:tcPr>
          <w:p>
            <w:r>
              <w:t>Declared at source line 368.</w:t>
            </w:r>
          </w:p>
        </w:tc>
        <w:tc>
          <w:tcPr>
            <w:tcW w:type="dxa" w:w="960"/>
          </w:tcPr>
          <w:p>
            <w:r>
              <w:t>Recovery_None, Recovery_Martingale, Recovery_DAlembert</w:t>
            </w:r>
          </w:p>
        </w:tc>
        <w:tc>
          <w:tcPr>
            <w:tcW w:type="dxa" w:w="960"/>
          </w:tcPr>
          <w:p>
            <w:r>
              <w:t>None, Martingale or D'Alembert are mutually exclusive.</w:t>
            </w:r>
          </w:p>
        </w:tc>
      </w:tr>
      <w:tr>
        <w:tc>
          <w:tcPr>
            <w:tcW w:type="dxa" w:w="960"/>
          </w:tcPr>
          <w:p>
            <w:r>
              <w:t>73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Recovery Target</w:t>
            </w:r>
          </w:p>
        </w:tc>
        <w:tc>
          <w:tcPr>
            <w:tcW w:type="dxa" w:w="960"/>
          </w:tcPr>
          <w:p>
            <w:r>
              <w:t>myBlankSpace457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 Recovery Target ===================\</w:t>
            </w:r>
          </w:p>
        </w:tc>
      </w:tr>
      <w:tr>
        <w:tc>
          <w:tcPr>
            <w:tcW w:type="dxa" w:w="960"/>
          </w:tcPr>
          <w:p>
            <w:r>
              <w:t>74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Recovery Target</w:t>
            </w:r>
          </w:p>
        </w:tc>
        <w:tc>
          <w:tcPr>
            <w:tcW w:type="dxa" w:w="960"/>
          </w:tcPr>
          <w:p>
            <w:r>
              <w:t>Multiplicador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Martingale or Grid Target Profit Multiplier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Recovery/grid target multiplier; validate a value greater than one where escalation is intended.</w:t>
            </w:r>
          </w:p>
        </w:tc>
      </w:tr>
      <w:tr>
        <w:tc>
          <w:tcPr>
            <w:tcW w:type="dxa" w:w="960"/>
          </w:tcPr>
          <w:p>
            <w:r>
              <w:t>75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Martingale Limits</w:t>
            </w:r>
          </w:p>
        </w:tc>
        <w:tc>
          <w:tcPr>
            <w:tcW w:type="dxa" w:w="960"/>
          </w:tcPr>
          <w:p>
            <w:r>
              <w:t>myBlankSpace16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Martingale Limits ==================\</w:t>
            </w:r>
          </w:p>
        </w:tc>
      </w:tr>
      <w:tr>
        <w:tc>
          <w:tcPr>
            <w:tcW w:type="dxa" w:w="960"/>
          </w:tcPr>
          <w:p>
            <w:r>
              <w:t>76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Martingale Limits</w:t>
            </w:r>
          </w:p>
        </w:tc>
        <w:tc>
          <w:tcPr>
            <w:tcW w:type="dxa" w:w="960"/>
          </w:tcPr>
          <w:p>
            <w:r>
              <w:t>MaxMartingaleSteps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Consecutive Losses Before Reset (0 = no limit)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means no step limit; exceeding a positive limit hard-resets the old deficit and forces the next order to the base lot.</w:t>
            </w:r>
          </w:p>
        </w:tc>
      </w:tr>
      <w:tr>
        <w:tc>
          <w:tcPr>
            <w:tcW w:type="dxa" w:w="960"/>
          </w:tcPr>
          <w:p>
            <w:r>
              <w:t>77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Martingale Limits</w:t>
            </w:r>
          </w:p>
        </w:tc>
        <w:tc>
          <w:tcPr>
            <w:tcW w:type="dxa" w:w="960"/>
          </w:tcPr>
          <w:p>
            <w:r>
              <w:t>MaxMartingaleLot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Maximum Martingale or D'Alembert Lot (0 = broker limit only)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means broker maximum only.</w:t>
            </w:r>
          </w:p>
        </w:tc>
      </w:tr>
      <w:tr>
        <w:tc>
          <w:tcPr>
            <w:tcW w:type="dxa" w:w="960"/>
          </w:tcPr>
          <w:p>
            <w:r>
              <w:t>78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DAlembert Settings</w:t>
            </w:r>
          </w:p>
        </w:tc>
        <w:tc>
          <w:tcPr>
            <w:tcW w:type="dxa" w:w="960"/>
          </w:tcPr>
          <w:p>
            <w:r>
              <w:t>myBlankSpace_dal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 DAlembert Settings ==================\</w:t>
            </w:r>
          </w:p>
        </w:tc>
      </w:tr>
      <w:tr>
        <w:tc>
          <w:tcPr>
            <w:tcW w:type="dxa" w:w="960"/>
          </w:tcPr>
          <w:p>
            <w:r>
              <w:t>79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DAlembert Settings</w:t>
            </w:r>
          </w:p>
        </w:tc>
        <w:tc>
          <w:tcPr>
            <w:tcW w:type="dxa" w:w="960"/>
          </w:tcPr>
          <w:p>
            <w:r>
              <w:t>DAlembertStep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0.01</w:t>
            </w:r>
          </w:p>
        </w:tc>
        <w:tc>
          <w:tcPr>
            <w:tcW w:type="dxa" w:w="960"/>
          </w:tcPr>
          <w:p>
            <w:r>
              <w:t>Lot Increment per Loss for D'Alembert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Must be positive; supported with Fixed Lot and grid disabled.</w:t>
            </w:r>
          </w:p>
        </w:tc>
      </w:tr>
      <w:tr>
        <w:tc>
          <w:tcPr>
            <w:tcW w:type="dxa" w:w="960"/>
          </w:tcPr>
          <w:p>
            <w:r>
              <w:t>80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myBlankSpace17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Grid Settings ====================\</w:t>
            </w:r>
          </w:p>
        </w:tc>
      </w:tr>
      <w:tr>
        <w:tc>
          <w:tcPr>
            <w:tcW w:type="dxa" w:w="960"/>
          </w:tcPr>
          <w:p>
            <w:r>
              <w:t>81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GridMode</w:t>
            </w:r>
          </w:p>
        </w:tc>
        <w:tc>
          <w:tcPr>
            <w:tcW w:type="dxa" w:w="960"/>
          </w:tcPr>
          <w:p>
            <w:r>
              <w:t>ENUM_GRID_MODE</w:t>
            </w:r>
          </w:p>
        </w:tc>
        <w:tc>
          <w:tcPr>
            <w:tcW w:type="dxa" w:w="960"/>
          </w:tcPr>
          <w:p>
            <w:r>
              <w:t>Grid_Disabled</w:t>
            </w:r>
          </w:p>
        </w:tc>
        <w:tc>
          <w:tcPr>
            <w:tcW w:type="dxa" w:w="960"/>
          </w:tcPr>
          <w:p>
            <w:r>
              <w:t>Declared at source line 385.</w:t>
            </w:r>
          </w:p>
        </w:tc>
        <w:tc>
          <w:tcPr>
            <w:tcW w:type="dxa" w:w="960"/>
          </w:tcPr>
          <w:p>
            <w:r>
              <w:t>Grid_Disabled, Grid_SeparateProfit, Grid_UnifiedProfit</w:t>
            </w:r>
          </w:p>
        </w:tc>
        <w:tc>
          <w:tcPr>
            <w:tcW w:type="dxa" w:w="960"/>
          </w:tcPr>
          <w:p>
            <w:r>
              <w:t>Supported with Monetary or Fixed Lot sizing, Recovery_None and a hedging account; targets are frozen per cycle.</w:t>
            </w:r>
          </w:p>
        </w:tc>
      </w:tr>
      <w:tr>
        <w:tc>
          <w:tcPr>
            <w:tcW w:type="dxa" w:w="960"/>
          </w:tcPr>
          <w:p>
            <w:r>
              <w:t>82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UsarsomenteATRGRID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Use ATR Only as Grid Signal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Research switch; require an existing basket anchor before adding a grid leg.</w:t>
            </w:r>
          </w:p>
        </w:tc>
      </w:tr>
      <w:tr>
        <w:tc>
          <w:tcPr>
            <w:tcW w:type="dxa" w:w="960"/>
          </w:tcPr>
          <w:p>
            <w:r>
              <w:t>83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DistanciaMinima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ATR Distance Multiplier for Next Grid Order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Positive ATR-distance multiplier between grid entries.</w:t>
            </w:r>
          </w:p>
        </w:tc>
      </w:tr>
      <w:tr>
        <w:tc>
          <w:tcPr>
            <w:tcW w:type="dxa" w:w="960"/>
          </w:tcPr>
          <w:p>
            <w:r>
              <w:t>84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myBlankSpaceTradingHours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Trading Hours ====================\</w:t>
            </w:r>
          </w:p>
        </w:tc>
      </w:tr>
      <w:tr>
        <w:tc>
          <w:tcPr>
            <w:tcW w:type="dxa" w:w="960"/>
          </w:tcPr>
          <w:p>
            <w:r>
              <w:t>85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Fecharordensforadohorario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Close Positions Outside Trading Hours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When enabled, positions are closed whenever server time is outside the interval.</w:t>
            </w:r>
          </w:p>
        </w:tc>
      </w:tr>
      <w:tr>
        <w:tc>
          <w:tcPr>
            <w:tcW w:type="dxa" w:w="960"/>
          </w:tcPr>
          <w:p>
            <w:r>
              <w:t>86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TOD_From_Hour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00</w:t>
            </w:r>
          </w:p>
        </w:tc>
        <w:tc>
          <w:tcPr>
            <w:tcW w:type="dxa" w:w="960"/>
          </w:tcPr>
          <w:p>
            <w:r>
              <w:t>Trading Start Hour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87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TOD_From_Min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00</w:t>
            </w:r>
          </w:p>
        </w:tc>
        <w:tc>
          <w:tcPr>
            <w:tcW w:type="dxa" w:w="960"/>
          </w:tcPr>
          <w:p>
            <w:r>
              <w:t>Trading Start Minute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88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TOD_To_Hour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Trading End Hour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89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TOD_To_Min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55</w:t>
            </w:r>
          </w:p>
        </w:tc>
        <w:tc>
          <w:tcPr>
            <w:tcW w:type="dxa" w:w="960"/>
          </w:tcPr>
          <w:p>
            <w:r>
              <w:t>Trading End Minute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90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myBlankSpaceTradingDays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Trading Days =====================\</w:t>
            </w:r>
          </w:p>
        </w:tc>
      </w:tr>
      <w:tr>
        <w:tc>
          <w:tcPr>
            <w:tcW w:type="dxa" w:w="960"/>
          </w:tcPr>
          <w:p>
            <w:r>
              <w:t>91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TradeMonday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Monday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92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TradeTuesday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Tuesday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93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TradeWednesday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Wednesday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94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TradeThursday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Thursday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95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TradeFriday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Friday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96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TradeSaturday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Allow Trading on Saturday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Explicit weekend permission; useful only when the broker symbol trades Saturday.</w:t>
            </w:r>
          </w:p>
        </w:tc>
      </w:tr>
      <w:tr>
        <w:tc>
          <w:tcPr>
            <w:tcW w:type="dxa" w:w="960"/>
          </w:tcPr>
          <w:p>
            <w:r>
              <w:t>97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TradeSunday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Allow Trading on Sunday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Explicit weekend permission; useful only when the broker symbol trades Sunday.</w:t>
            </w:r>
          </w:p>
        </w:tc>
      </w:tr>
      <w:tr>
        <w:tc>
          <w:tcPr>
            <w:tcW w:type="dxa" w:w="960"/>
          </w:tcPr>
          <w:p>
            <w:r>
              <w:t>98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Market Execution</w:t>
            </w:r>
          </w:p>
        </w:tc>
        <w:tc>
          <w:tcPr>
            <w:tcW w:type="dxa" w:w="960"/>
          </w:tcPr>
          <w:p>
            <w:r>
              <w:t>myBlankSpaceExecution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Market Execution ===================\</w:t>
            </w:r>
          </w:p>
        </w:tc>
      </w:tr>
      <w:tr>
        <w:tc>
          <w:tcPr>
            <w:tcW w:type="dxa" w:w="960"/>
          </w:tcPr>
          <w:p>
            <w:r>
              <w:t>99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Market Execution</w:t>
            </w:r>
          </w:p>
        </w:tc>
        <w:tc>
          <w:tcPr>
            <w:tcW w:type="dxa" w:w="960"/>
          </w:tcPr>
          <w:p>
            <w:r>
              <w:t>MaxSpread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Maximum Allowed Spread for New Trades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entry spread ceiling.</w:t>
            </w:r>
          </w:p>
        </w:tc>
      </w:tr>
      <w:tr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Market Execution</w:t>
            </w:r>
          </w:p>
        </w:tc>
        <w:tc>
          <w:tcPr>
            <w:tcW w:type="dxa" w:w="960"/>
          </w:tcPr>
          <w:p>
            <w:r>
              <w:t>MaxSlippage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Slippage, ajustado no OnInit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101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myBlankSpaceExposure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Position Exposure ==================\</w:t>
            </w:r>
          </w:p>
        </w:tc>
      </w:tr>
      <w:tr>
        <w:tc>
          <w:tcPr>
            <w:tcW w:type="dxa" w:w="960"/>
          </w:tcPr>
          <w:p>
            <w:r>
              <w:t>102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MaxLongTrades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Maximum Simultaneous BUY Positions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BUY entries; grid sides require zero or at least two, while Martingale permits at most one.</w:t>
            </w:r>
          </w:p>
        </w:tc>
      </w:tr>
      <w:tr>
        <w:tc>
          <w:tcPr>
            <w:tcW w:type="dxa" w:w="960"/>
          </w:tcPr>
          <w:p>
            <w:r>
              <w:t>103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MaxShortTrades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Maximum Simultaneous SELL Positions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SELL entries; grid sides require zero or at least two, while Martingale permits at most one.</w:t>
            </w:r>
          </w:p>
        </w:tc>
      </w:tr>
      <w:tr>
        <w:tc>
          <w:tcPr>
            <w:tcW w:type="dxa" w:w="960"/>
          </w:tcPr>
          <w:p>
            <w:r>
              <w:t>104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Hedging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Allow Hedging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Does not change the account type; the real MT5 account must also support hedging.</w:t>
            </w:r>
          </w:p>
        </w:tc>
      </w:tr>
      <w:tr>
        <w:tc>
          <w:tcPr>
            <w:tcW w:type="dxa" w:w="960"/>
          </w:tcPr>
          <w:p>
            <w:r>
              <w:t>105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myBlankSpaceInterface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 Identity and Interface ================\</w:t>
            </w:r>
          </w:p>
        </w:tc>
      </w:tr>
      <w:tr>
        <w:tc>
          <w:tcPr>
            <w:tcW w:type="dxa" w:w="960"/>
          </w:tcPr>
          <w:p>
            <w:r>
              <w:t>106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MagicNumber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384457</w:t>
            </w:r>
          </w:p>
        </w:tc>
        <w:tc>
          <w:tcPr>
            <w:tcW w:type="dxa" w:w="960"/>
          </w:tcPr>
          <w:p>
            <w:r>
              <w:t>Magic Number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Must be unique for each independent strategy/symbol scope.</w:t>
            </w:r>
          </w:p>
        </w:tc>
      </w:tr>
      <w:tr>
        <w:tc>
          <w:tcPr>
            <w:tcW w:type="dxa" w:w="960"/>
          </w:tcPr>
          <w:p>
            <w:r>
              <w:t>107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ModificationSafetyPoints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Optional extra distance beyond broker limits and current spread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Additional points beyond broker distance/spread constraints.</w:t>
            </w:r>
          </w:p>
        </w:tc>
      </w:tr>
      <w:tr>
        <w:tc>
          <w:tcPr>
            <w:tcW w:type="dxa" w:w="960"/>
          </w:tcPr>
          <w:p>
            <w:r>
              <w:t>108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InterfaceLanguage</w:t>
            </w:r>
          </w:p>
        </w:tc>
        <w:tc>
          <w:tcPr>
            <w:tcW w:type="dxa" w:w="960"/>
          </w:tcPr>
          <w:p>
            <w:r>
              <w:t>ENUM_INTERFACE_LANGUAGE</w:t>
            </w:r>
          </w:p>
        </w:tc>
        <w:tc>
          <w:tcPr>
            <w:tcW w:type="dxa" w:w="960"/>
          </w:tcPr>
          <w:p>
            <w:r>
              <w:t>Language_Auto</w:t>
            </w:r>
          </w:p>
        </w:tc>
        <w:tc>
          <w:tcPr>
            <w:tcW w:type="dxa" w:w="960"/>
          </w:tcPr>
          <w:p>
            <w:r>
              <w:t>Live chart interface language</w:t>
            </w:r>
          </w:p>
        </w:tc>
        <w:tc>
          <w:tcPr>
            <w:tcW w:type="dxa" w:w="960"/>
          </w:tcPr>
          <w:p>
            <w:r>
              <w:t>Language_Auto, Language_English, Language_Portuguese, Language_Russian, Language_Chinese, Language_Spanish, Language_Japanese, Language_German, Language_Korean, Language_French, Language_Italian, Language_Turkish</w:t>
            </w:r>
          </w:p>
        </w:tc>
        <w:tc>
          <w:tcPr>
            <w:tcW w:type="dxa" w:w="960"/>
          </w:tcPr>
          <w:p>
            <w:r>
              <w:t>Eleven live/visual UI languages; Auto uses English in Tester and untranslated labels fall back to English.</w:t>
            </w:r>
          </w:p>
        </w:tc>
      </w:tr>
      <w:tr>
        <w:tc>
          <w:tcPr>
            <w:tcW w:type="dxa" w:w="960"/>
          </w:tcPr>
          <w:p>
            <w:r>
              <w:t>109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myBlankSpaceDashboard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Chart Dashboard ==================\</w:t>
            </w:r>
          </w:p>
        </w:tc>
      </w:tr>
      <w:tr>
        <w:tc>
          <w:tcPr>
            <w:tcW w:type="dxa" w:w="960"/>
          </w:tcPr>
          <w:p>
            <w:r>
              <w:t>110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EnableChartDashboard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Show visual P&amp;L panel on live and visual tester charts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Live/visual panel; periodic tick refresh is capped at once per second.</w:t>
            </w:r>
          </w:p>
        </w:tc>
      </w:tr>
      <w:tr>
        <w:tc>
          <w:tcPr>
            <w:tcW w:type="dxa" w:w="960"/>
          </w:tcPr>
          <w:p>
            <w:r>
              <w:t>111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DashboardCorner</w:t>
            </w:r>
          </w:p>
        </w:tc>
        <w:tc>
          <w:tcPr>
            <w:tcW w:type="dxa" w:w="960"/>
          </w:tcPr>
          <w:p>
            <w:r>
              <w:t>ENUM_BASE_CORNER</w:t>
            </w:r>
          </w:p>
        </w:tc>
        <w:tc>
          <w:tcPr>
            <w:tcW w:type="dxa" w:w="960"/>
          </w:tcPr>
          <w:p>
            <w:r>
              <w:t>CORNER_LEFT_UPPER</w:t>
            </w:r>
          </w:p>
        </w:tc>
        <w:tc>
          <w:tcPr>
            <w:tcW w:type="dxa" w:w="960"/>
          </w:tcPr>
          <w:p>
            <w:r>
              <w:t>Dashboard chart corner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112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DashboardOffsetX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Horizontal offset in pixels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113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DashboardOffsetY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Vertical offset in pixels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114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ShowClosedDealLabels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Show monetary and percentage result at each closed trade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115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MaxVisibleDealLabels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120</w:t>
            </w:r>
          </w:p>
        </w:tc>
        <w:tc>
          <w:tcPr>
            <w:tcW w:type="dxa" w:w="960"/>
          </w:tcPr>
          <w:p>
            <w:r>
              <w:t>Maximum closed-trade labels kept on chart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116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ClosedDealLabelFontSize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Closed-trade label font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117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ApplyEmbeddedChartTheme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Apply the White Rabbit X clean chart style on every machine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118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AtivarWFO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WFO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Enables the internal WFO boundary logic; still requires an external chronological process.</w:t>
            </w:r>
          </w:p>
        </w:tc>
      </w:tr>
      <w:tr>
        <w:tc>
          <w:tcPr>
            <w:tcW w:type="dxa" w:w="960"/>
          </w:tcPr>
          <w:p>
            <w:r>
              <w:t>119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MetodoDeEntradawfo</w:t>
            </w:r>
          </w:p>
        </w:tc>
        <w:tc>
          <w:tcPr>
            <w:tcW w:type="dxa" w:w="960"/>
          </w:tcPr>
          <w:p>
            <w:r>
              <w:t>WFOTIPO</w:t>
            </w:r>
          </w:p>
        </w:tc>
        <w:tc>
          <w:tcPr>
            <w:tcW w:type="dxa" w:w="960"/>
          </w:tcPr>
          <w:p>
            <w:r>
              <w:t>Insample</w:t>
            </w:r>
          </w:p>
        </w:tc>
        <w:tc>
          <w:tcPr>
            <w:tcW w:type="dxa" w:w="960"/>
          </w:tcPr>
          <w:p>
            <w:r>
              <w:t>Optimization Mode</w:t>
            </w:r>
          </w:p>
        </w:tc>
        <w:tc>
          <w:tcPr>
            <w:tcW w:type="dxa" w:w="960"/>
          </w:tcPr>
          <w:p>
            <w:r>
              <w:t>Insample, InSampleAndOutSample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120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input_end_date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"2025.02.28"</w:t>
            </w:r>
          </w:p>
        </w:tc>
        <w:tc>
          <w:tcPr>
            <w:tcW w:type="dxa" w:w="960"/>
          </w:tcPr>
          <w:p>
            <w:r>
              <w:t>Backtest End Date (manual)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Manual tester end date; keep synchronized with the selected test range.</w:t>
            </w:r>
          </w:p>
        </w:tc>
      </w:tr>
      <w:tr>
        <w:tc>
          <w:tcPr>
            <w:tcW w:type="dxa" w:w="960"/>
          </w:tcPr>
          <w:p>
            <w:r>
              <w:t>121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myBlankSpaceWFOPeriods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WFO Periods =====================\</w:t>
            </w:r>
          </w:p>
        </w:tc>
      </w:tr>
      <w:tr>
        <w:tc>
          <w:tcPr>
            <w:tcW w:type="dxa" w:w="960"/>
          </w:tcPr>
          <w:p>
            <w:r>
              <w:t>122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wfo_windowSize</w:t>
            </w:r>
          </w:p>
        </w:tc>
        <w:tc>
          <w:tcPr>
            <w:tcW w:type="dxa" w:w="960"/>
          </w:tcPr>
          <w:p>
            <w:r>
              <w:t>WFO_TIME_PERIOD</w:t>
            </w:r>
          </w:p>
        </w:tc>
        <w:tc>
          <w:tcPr>
            <w:tcW w:type="dxa" w:w="960"/>
          </w:tcPr>
          <w:p>
            <w:r>
              <w:t>Ano</w:t>
            </w:r>
          </w:p>
        </w:tc>
        <w:tc>
          <w:tcPr>
            <w:tcW w:type="dxa" w:w="960"/>
          </w:tcPr>
          <w:p>
            <w:r>
              <w:t>In-Sample Window Size</w:t>
            </w:r>
          </w:p>
        </w:tc>
        <w:tc>
          <w:tcPr>
            <w:tcW w:type="dxa" w:w="960"/>
          </w:tcPr>
          <w:p>
            <w:r>
              <w:t>Nenhum, Ano, Semestre, Trimestre, Mes, Semana, Dia, Custom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123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wfo_customWindowSizeDays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Custom Window Size in Days (0 = unused)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124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wfo_stepSize</w:t>
            </w:r>
          </w:p>
        </w:tc>
        <w:tc>
          <w:tcPr>
            <w:tcW w:type="dxa" w:w="960"/>
          </w:tcPr>
          <w:p>
            <w:r>
              <w:t>WFO_TIME_PERIOD</w:t>
            </w:r>
          </w:p>
        </w:tc>
        <w:tc>
          <w:tcPr>
            <w:tcW w:type="dxa" w:w="960"/>
          </w:tcPr>
          <w:p>
            <w:r>
              <w:t>Semestre</w:t>
            </w:r>
          </w:p>
        </w:tc>
        <w:tc>
          <w:tcPr>
            <w:tcW w:type="dxa" w:w="960"/>
          </w:tcPr>
          <w:p>
            <w:r>
              <w:t>Out-of-Sample Step Size</w:t>
            </w:r>
          </w:p>
        </w:tc>
        <w:tc>
          <w:tcPr>
            <w:tcW w:type="dxa" w:w="960"/>
          </w:tcPr>
          <w:p>
            <w:r>
              <w:t>Nenhum, Ano, Semestre, Trimestre, Mes, Semana, Dia, Custom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125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wfo_customStepSizePercent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Custom Step Size in Days or Percentage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Custom step: positive=percentage of IS; negative=fixed number of OOS days (for example -61).</w:t>
            </w:r>
          </w:p>
        </w:tc>
      </w:tr>
      <w:tr>
        <w:tc>
          <w:tcPr>
            <w:tcW w:type="dxa" w:w="960"/>
          </w:tcPr>
          <w:p>
            <w:r>
              <w:t>126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Optimization Criterion</w:t>
            </w:r>
          </w:p>
        </w:tc>
        <w:tc>
          <w:tcPr>
            <w:tcW w:type="dxa" w:w="960"/>
          </w:tcPr>
          <w:p>
            <w:r>
              <w:t>myBlankSpace4447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 Optimization Criterion ================\</w:t>
            </w:r>
          </w:p>
        </w:tc>
      </w:tr>
      <w:tr>
        <w:tc>
          <w:tcPr>
            <w:tcW w:type="dxa" w:w="960"/>
          </w:tcPr>
          <w:p>
            <w:r>
              <w:t>127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Optimization Criterion</w:t>
            </w:r>
          </w:p>
        </w:tc>
        <w:tc>
          <w:tcPr>
            <w:tcW w:type="dxa" w:w="960"/>
          </w:tcPr>
          <w:p>
            <w:r>
              <w:t>selectedFormula</w:t>
            </w:r>
          </w:p>
        </w:tc>
        <w:tc>
          <w:tcPr>
            <w:tcW w:type="dxa" w:w="960"/>
          </w:tcPr>
          <w:p>
            <w:r>
              <w:t>CustomFormulaType</w:t>
            </w:r>
          </w:p>
        </w:tc>
        <w:tc>
          <w:tcPr>
            <w:tcW w:type="dxa" w:w="960"/>
          </w:tcPr>
          <w:p>
            <w:r>
              <w:t>Formula_ProfitPerTradeAdjustedByDD</w:t>
            </w:r>
          </w:p>
        </w:tc>
        <w:tc>
          <w:tcPr>
            <w:tcW w:type="dxa" w:w="960"/>
          </w:tcPr>
          <w:p>
            <w:r>
              <w:t>Custom Optimization Formula</w:t>
            </w:r>
          </w:p>
        </w:tc>
        <w:tc>
          <w:tcPr>
            <w:tcW w:type="dxa" w:w="960"/>
          </w:tcPr>
          <w:p>
            <w:r>
              <w:t>Formula_None, Formula_GridSurvivalScore, Formula_Profit, Formula_ProfitWinTradeDD, Formula_EfficiencyRelativeToDeposit, Formula_AdjustedEfficiencyForGrid, Formula_ProfitRelativeToDDAndDeposit, Formula_ProfitPerTradeAdjustedByDD, Formula_SharpeAdjustedByDD, Formula_PessimisticProfit, Formula_ResilienceToDrawdown, Formula_ReturnUniformity, Formula_SystemRobustness, Formula_LevainCompositeScore, Formula_SomaR</w:t>
            </w:r>
          </w:p>
        </w:tc>
        <w:tc>
          <w:tcPr>
            <w:tcW w:type="dxa" w:w="960"/>
          </w:tcPr>
          <w:p>
            <w:r>
              <w:t>Optimization criterion only; inspect stability and OOS results before selection.</w:t>
            </w:r>
          </w:p>
        </w:tc>
      </w:tr>
    </w:tbl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