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Guide d'optimisation WFO</w:t>
      </w:r>
    </w:p>
    <w:p>
      <w:r>
        <w:t>Référence faisant autorité, générée depuis la source EA et le manifeste actuels — EA 1.11 — 127 inputs — 3738 sets</w:t>
      </w:r>
    </w:p>
    <w:p>
      <w:r>
        <w:t>Attention à la date. Avec le WFO activé, OnTester compare la fin réelle du test à input_end_date et renvoie zéro si le test s'est terminé plus tôt (tolérance de 80 heures). Une date erronée met toutes les passes à zéro et l'optimisation entière semble cassée. Réglez input_end_date sur la même date de fin que celle configurée dans le Testeur de Stratégies.</w:t>
      </w:r>
    </w:p>
    <w:p>
      <w:pPr>
        <w:pStyle w:val="Heading2"/>
      </w:pPr>
      <w:r>
        <w:rPr>
          <w:color w:val="1E3A5F"/>
        </w:rPr>
        <w:t>Périmètre et sources de vérité</w:t>
      </w:r>
    </w:p>
    <w:p>
      <w:r>
        <w:t>La source définit inputs, valeurs et fonctions ; le manifeste définit chaque set, statut, chemin et SHA-256. L'archive Quantum est uniquement historique.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Document généré ; les identifiants correspondent exactement à l'EA.</w:t>
      </w:r>
    </w:p>
    <w:p>
      <w:pPr>
        <w:pStyle w:val="Heading2"/>
      </w:pPr>
      <w:r>
        <w:rPr>
          <w:color w:val="1E3A5F"/>
        </w:rPr>
        <w:t>Méthode walk-forward</w:t>
      </w:r>
    </w:p>
    <w:p>
      <w:r>
        <w:t>Utilisez IS, OOS et forward démo chronologiques avec spread, commission, swap et slippage réalistes.</w:t>
      </w:r>
    </w:p>
    <w:p>
      <w:pPr>
        <w:pStyle w:val="Heading2"/>
      </w:pPr>
      <w:r>
        <w:rPr>
          <w:color w:val="1E3A5F"/>
        </w:rPr>
        <w:t>Flux sûr</w:t>
      </w:r>
    </w:p>
    <w:p>
      <w:r>
        <w:t>Modifiez une matrice par étape et conservez les preuves.</w:t>
      </w:r>
    </w:p>
    <w:p>
      <w:pPr>
        <w:pStyle w:val="ListBullet"/>
      </w:pPr>
      <w:r>
        <w:t>Alignez les versions EX5, source, schéma set et manifeste.</w:t>
      </w:r>
    </w:p>
    <w:p>
      <w:pPr>
        <w:pStyle w:val="ListBullet"/>
      </w:pPr>
      <w:r>
        <w:t>Chargez la bibliothèque par Strategy Tester Inputs.</w:t>
      </w:r>
    </w:p>
    <w:p>
      <w:pPr>
        <w:pStyle w:val="ListBullet"/>
      </w:pPr>
      <w:r>
        <w:t>Mappez le symbole et le suffixe exacts.</w:t>
      </w:r>
    </w:p>
    <w:p>
      <w:pPr>
        <w:pStyle w:val="ListBullet"/>
      </w:pPr>
      <w:r>
        <w:t>Commencez par les baselines 01–05, BUY/SELL séparés.</w:t>
      </w:r>
    </w:p>
    <w:p>
      <w:pPr>
        <w:pStyle w:val="ListBullet"/>
      </w:pPr>
      <w:r>
        <w:t>06 sert à la recherche mono-axe.</w:t>
      </w:r>
    </w:p>
    <w:p>
      <w:pPr>
        <w:pStyle w:val="ListBullet"/>
      </w:pPr>
      <w:r>
        <w:t>07 entrée, 08 filtres, 09 risque, 10 sorties.</w:t>
      </w:r>
    </w:p>
    <w:p>
      <w:pPr>
        <w:pStyle w:val="ListBullet"/>
      </w:pPr>
      <w:r>
        <w:t>Exécutez IS, OOS et forward démo chronologiques.</w:t>
      </w:r>
    </w:p>
    <w:p>
      <w:pPr>
        <w:pStyle w:val="ListBullet"/>
      </w:pPr>
      <w:r>
        <w:t>Contrôlez Status, RelativePath et SHA256.</w:t>
      </w:r>
    </w:p>
    <w:p>
      <w:pPr>
        <w:pStyle w:val="ListBullet"/>
      </w:pPr>
      <w:r>
        <w:t>Seul USE explicite autorise l'environnement défini.</w:t>
      </w:r>
    </w:p>
    <w:p>
      <w:pPr>
        <w:pStyle w:val="Heading2"/>
      </w:pPr>
      <w:r>
        <w:rPr>
          <w:color w:val="1E3A5F"/>
        </w:rPr>
        <w:t>Statuts et décision</w:t>
      </w:r>
    </w:p>
    <w:p>
      <w:r>
        <w:t>Le statut exact est conservé et mappé prudemment vers USE, REOPTIMIZE, RESEARCH ou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Système</w:t>
            </w:r>
          </w:p>
        </w:tc>
        <w:tc>
          <w:tcPr>
            <w:tcW w:type="dxa" w:w="2880"/>
          </w:tcPr>
          <w:p>
            <w:r>
              <w:t>Gestion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