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FAQ et support</w:t>
      </w:r>
    </w:p>
    <w:p>
      <w:r>
        <w:t>Référence faisant autorité, générée depuis la source EA et le manifeste actuels — EA 1.11 — 127 inputs — 3738 sets</w:t>
      </w:r>
    </w:p>
    <w:p>
      <w:pPr>
        <w:pStyle w:val="Heading2"/>
      </w:pPr>
      <w:r>
        <w:rPr>
          <w:color w:val="1E3A5F"/>
        </w:rPr>
        <w:t>Périmètre et sources de vérité</w:t>
      </w:r>
    </w:p>
    <w:p>
      <w:r>
        <w:t>La source définit inputs, valeurs et fonctions ; le manifeste définit chaque set, statut, chemin et SHA-256. L'archive Quantum est uniquement historique.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Document généré ; les identifiants correspondent exactement à l'EA.</w:t>
      </w:r>
    </w:p>
    <w:p>
      <w:pPr>
        <w:pStyle w:val="Heading2"/>
      </w:pPr>
      <w:r>
        <w:rPr>
          <w:color w:val="1E3A5F"/>
        </w:rPr>
        <w:t>Télémétrie des cycles du tableau</w:t>
      </w:r>
    </w:p>
    <w:p>
      <w:r>
        <w:t>Le panneau utilise les mêmes snapshots que le calcul des lots et la clôture des paniers.</w:t>
      </w:r>
    </w:p>
    <w:p>
      <w:pPr>
        <w:pStyle w:val="ListBullet"/>
      </w:pPr>
      <w:r>
        <w:t>Le rafraîchissement périodique par tick est limité à une fois par seconde ; initialisation et événements de trading peuvent rafraîchir immédiatement.</w:t>
      </w:r>
    </w:p>
    <w:p>
      <w:pPr>
        <w:pStyle w:val="ListBullet"/>
      </w:pPr>
      <w:r>
        <w:t>Balance et Equity couvrent tout le compte. Closed P&amp;L est la variation depuis OnInit ; Open P&amp;L et positions sont actuels et filtrés par Symbol + Magic.</w:t>
      </w:r>
    </w:p>
    <w:p>
      <w:pPr>
        <w:pStyle w:val="ListBullet"/>
      </w:pPr>
      <w:r>
        <w:t>Martingale affiche par BUY/SELL pertes consécutives, nombre et montant brut des pertes, recovered, deficit et target = deficit × Multiplicador.</w:t>
      </w:r>
    </w:p>
    <w:p>
      <w:pPr>
        <w:pStyle w:val="ListBullet"/>
      </w:pPr>
      <w:r>
        <w:t>Dépasser MaxMartingaleSteps produit un hard reset : ancien déficit supprimé et prochain ordre au lot de base. Une position ouverte maximum par côté.</w:t>
      </w:r>
    </w:p>
    <w:p>
      <w:pPr>
        <w:pStyle w:val="ListBullet"/>
      </w:pPr>
      <w:r>
        <w:t>D'Alembert affiche le niveau actuel et le prochain lot normalisé BUY/SELL.</w:t>
      </w:r>
    </w:p>
    <w:p>
      <w:pPr>
        <w:pStyle w:val="ListBullet"/>
      </w:pPr>
      <w:r>
        <w:t>Grid affiche legs/volume, realized coûts compris, open P&amp;L, cycle P&amp;L, target figée au départ et remaining.</w:t>
      </w:r>
    </w:p>
    <w:p>
      <w:pPr>
        <w:pStyle w:val="ListBullet"/>
      </w:pPr>
      <w:r>
        <w:t>Anchor est la position confirmée la plus récente. BUY exige strictement moins que anchor − ATR × DistanciaMinima, SELL strictement plus ; la progression est en ATR.</w:t>
      </w:r>
    </w:p>
    <w:p>
      <w:pPr>
        <w:pStyle w:val="ListBullet"/>
      </w:pPr>
      <w:r>
        <w:t>Separate termine seulement le cycle du côté devenu flat ; Unified se termine quand les deux côtés sont flat. Les ordres en cours retardent le reset.</w:t>
      </w:r>
    </w:p>
    <w:p>
      <w:pPr>
        <w:pStyle w:val="ListBullet"/>
      </w:pPr>
      <w:r>
        <w:t>Target déclenche la demande de clôture ; commission, frais et slippage de sortie peuvent laisser le résultat final légèrement inférieur.</w:t>
      </w:r>
    </w:p>
    <w:p>
      <w:pPr>
        <w:pStyle w:val="ListBullet"/>
      </w:pPr>
      <w:r>
        <w:t>InterfaceLanguage conserve 11 langues. Auto utilise English dans Tester et la langue du terminal en live ; un label non traduit revient à English.</w:t>
      </w:r>
    </w:p>
    <w:p>
      <w:pPr>
        <w:pStyle w:val="Heading2"/>
      </w:pPr>
      <w:r>
        <w:rPr>
          <w:color w:val="1E3A5F"/>
        </w:rPr>
        <w:t>Réponses opérationnelles</w:t>
      </w:r>
    </w:p>
    <w:p>
      <w:r>
        <w:t>Vérifiez stop, mode de compte, suffixe, heure serveur, CSV news et limites du courtier.</w:t>
      </w:r>
    </w:p>
    <w:p>
      <w:pPr>
        <w:pStyle w:val="ListBullet"/>
      </w:pPr>
      <w:r>
        <w:t>Percentage et Fixed-R exigent AtivarStop=true.</w:t>
      </w:r>
    </w:p>
    <w:p>
      <w:pPr>
        <w:pStyle w:val="ListBullet"/>
      </w:pPr>
      <w:r>
        <w:t>Grid : Monetary/Fixed Lot, Recovery_None et compte hedging uniquement.</w:t>
      </w:r>
    </w:p>
    <w:p>
      <w:pPr>
        <w:pStyle w:val="ListBullet"/>
      </w:pPr>
      <w:r>
        <w:t>Grid exige take, DistanciaMinima positif et limite d'au moins deux.</w:t>
      </w:r>
    </w:p>
    <w:p>
      <w:pPr>
        <w:pStyle w:val="ListBullet"/>
      </w:pPr>
      <w:r>
        <w:t>Tant que le panier reste ouvert, ses pertes réalisées, swap, commission et frais restent inclus dans le résultat requis pour atteindre la cible ; le gain isolé d'une jambe ne les efface pas.</w:t>
      </w:r>
    </w:p>
    <w:p>
      <w:pPr>
        <w:pStyle w:val="ListBullet"/>
      </w:pPr>
      <w:r>
        <w:t>En Grid_SeparateProfit, les cycles BUY et SELL sont indépendants. Si toutes les positions d'un côté disparaissent, son cycle se termine ; une entrée ultérieure repart sans reporter le déficit clôturé.</w:t>
      </w:r>
    </w:p>
    <w:p>
      <w:pPr>
        <w:pStyle w:val="ListBullet"/>
      </w:pPr>
      <w:r>
        <w:t>D'Alembert : Fixed Lot, Grid_Disabled et DAlembertStep&gt;0.</w:t>
      </w:r>
    </w:p>
    <w:p>
      <w:pPr>
        <w:pStyle w:val="ListBullet"/>
      </w:pPr>
      <w:r>
        <w:t>Martingale respecte MaxMartingaleSteps et MaxMartingaleLot.</w:t>
      </w:r>
    </w:p>
    <w:p>
      <w:pPr>
        <w:pStyle w:val="ListBullet"/>
      </w:pPr>
      <w:r>
        <w:t>OnOppositeOrder exige hedging, deux côtés et grid désactivé.</w:t>
      </w:r>
    </w:p>
    <w:p>
      <w:pPr>
        <w:pStyle w:val="ListBullet"/>
      </w:pPr>
      <w:r>
        <w:t>Le backtest news exige le CSV dans Common\Files.</w:t>
      </w:r>
    </w:p>
    <w:p>
      <w:pPr>
        <w:pStyle w:val="ListBullet"/>
      </w:pPr>
      <w:r>
        <w:t>L'horaire utilise l'heure serveur.</w:t>
      </w:r>
    </w:p>
    <w:p>
      <w:pPr>
        <w:pStyle w:val="ListBullet"/>
      </w:pPr>
      <w:r>
        <w:t>Validez suffixe et spécifications chez chaque courtier.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Communauté et téléchargements</w:t>
      </w:r>
    </w:p>
    <w:p>
      <w:r>
        <w:t>Rejoignez le canal Telegram officiel : https://t.me/MrRabbit_MT5</w:t>
      </w:r>
    </w:p>
    <w:p>
      <w:pPr>
        <w:pStyle w:val="ListBullet"/>
      </w:pPr>
      <w:r>
        <w:t>Sets prêts à l'emploi par actif et par type de système (SL/TP, trailing, grille, martingale et autres), organisés pour être chargés directement dans le Testeur de Stratégies.</w:t>
      </w:r>
    </w:p>
    <w:p>
      <w:pPr>
        <w:pStyle w:val="ListBullet"/>
      </w:pPr>
      <w:r>
        <w:t>Manuels dans votre langue : portugais, anglais, russe, chinois, espagnol, japonais, allemand, coréen, français, italien et turc.</w:t>
      </w:r>
    </w:p>
    <w:p>
      <w:pPr>
        <w:pStyle w:val="ListBullet"/>
      </w:pPr>
      <w:r>
        <w:t>Avis de mise à jour de l'EA et des bibliothèques de sets.</w:t>
      </w:r>
    </w:p>
    <w:p>
      <w:pPr>
        <w:pStyle w:val="ListBullet"/>
      </w:pPr>
      <w:r>
        <w:t>Support et échange d'expérience avec les autres utilisateurs.</w:t>
      </w:r>
    </w:p>
    <w:p>
      <w:pPr>
        <w:ind w:left="360"/>
      </w:pPr>
      <w:r>
        <w:rPr>
          <w:i/>
        </w:rPr>
        <w:t>C'est le seul canal officiel. N'achetez pas de sets ni de copies de l'EA auprès de tiers prétendant représenter White Rabbit X : l'EA est vendu uniquement sur le MQL5 Market et les sets sont distribués gratuitement sur le canal ci-dessus.</w:t>
      </w:r>
    </w:p>
    <w:p>
      <w:pPr>
        <w:pStyle w:val="Heading2"/>
      </w:pPr>
      <w:r>
        <w:rPr>
          <w:color w:val="1E3A5F"/>
        </w:rPr>
        <w:t>Avertissement de risque</w:t>
      </w:r>
    </w:p>
    <w:p>
      <w:r>
        <w:t>Aucun EA, set ou historique ne garantit l'avenir. Validez OOS et en démo.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