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Compatibilité technique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Périmètre et sources de vérité</w:t>
      </w:r>
    </w:p>
    <w:p>
      <w:r>
        <w:t>La source définit inputs, valeurs et fonctions ; le manifeste définit chaque set, statut, chemin et SHA-256. L'archive Quantum est uniquement historique.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Document généré ; les identifiants correspondent exactement à l'EA.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Compatibilité et restrictions</w:t>
      </w:r>
    </w:p>
    <w:p>
      <w:r>
        <w:t>Règles prudentes ; les limites plus strictes du courtier prévalent.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Signaux et entrées</w:t>
      </w:r>
    </w:p>
    <w:p>
      <w:r>
        <w:t>Six moteurs partagent retournement, croisement signal/référence et base/référence. And exige la même bougie clôturée ; All accepte tout événement.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Statuts et décision</w:t>
      </w:r>
    </w:p>
    <w:p>
      <w:r>
        <w:t>Le statut exact est conservé et mappé prudemment vers USE, REOPTIMIZE, RESEARCH ou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Système</w:t>
            </w:r>
          </w:p>
        </w:tc>
        <w:tc>
          <w:tcPr>
            <w:tcW w:type="dxa" w:w="2880"/>
          </w:tcPr>
          <w:p>
            <w:r>
              <w:t>Gestion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