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Guida di ottimizzazione WFO</w:t>
      </w:r>
    </w:p>
    <w:p>
      <w:r>
        <w:t>Riferimento autorevole generato dalla fonte EA e dal manifesto correnti — EA 1.11 — 127 inputs — 3738 sets</w:t>
      </w:r>
    </w:p>
    <w:p>
      <w:r>
        <w:t>Attenzione alla data. Con il WFO attivo, OnTester confronta la fine reale del test con input_end_date e restituisce zero se il test è terminato prima (tolleranza di 80 ore). Una data sbagliata azzera tutte le passate e l'intera ottimizzazione sembra rotta. Imposta input_end_date sulla stessa data finale configurata nello Strategy Tester.</w:t>
      </w:r>
    </w:p>
    <w:p>
      <w:pPr>
        <w:pStyle w:val="Heading2"/>
      </w:pPr>
      <w:r>
        <w:rPr>
          <w:color w:val="1E3A5F"/>
        </w:rPr>
        <w:t>Ambito e fonti di verità</w:t>
      </w:r>
    </w:p>
    <w:p>
      <w:r>
        <w:t>La fonte definisce inputs, valori e funzioni; il manifesto definisce ogni set, stato, percorso e SHA-256. L'archivio Quantum è solo storico.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Materiale generato; gli identificatori corrispondono esattamente all'EA.</w:t>
      </w:r>
    </w:p>
    <w:p>
      <w:pPr>
        <w:pStyle w:val="Heading2"/>
      </w:pPr>
      <w:r>
        <w:rPr>
          <w:color w:val="1E3A5F"/>
        </w:rPr>
        <w:t>Metodo walk-forward</w:t>
      </w:r>
    </w:p>
    <w:p>
      <w:r>
        <w:t>Usare IS, OOS e forward demo cronologici con spread, commissione, swap e slippage realistici.</w:t>
      </w:r>
    </w:p>
    <w:p>
      <w:pPr>
        <w:pStyle w:val="Heading2"/>
      </w:pPr>
      <w:r>
        <w:rPr>
          <w:color w:val="1E3A5F"/>
        </w:rPr>
        <w:t>Flusso sicuro</w:t>
      </w:r>
    </w:p>
    <w:p>
      <w:r>
        <w:t>Modificare una sola matrice per fase e conservare le prove.</w:t>
      </w:r>
    </w:p>
    <w:p>
      <w:pPr>
        <w:pStyle w:val="ListBullet"/>
      </w:pPr>
      <w:r>
        <w:t>Allineare EX5, fonte, schema set e manifesto.</w:t>
      </w:r>
    </w:p>
    <w:p>
      <w:pPr>
        <w:pStyle w:val="ListBullet"/>
      </w:pPr>
      <w:r>
        <w:t>Caricare la libreria tramite Strategy Tester Inputs.</w:t>
      </w:r>
    </w:p>
    <w:p>
      <w:pPr>
        <w:pStyle w:val="ListBullet"/>
      </w:pPr>
      <w:r>
        <w:t>Mappare simbolo e suffix esatti.</w:t>
      </w:r>
    </w:p>
    <w:p>
      <w:pPr>
        <w:pStyle w:val="ListBullet"/>
      </w:pPr>
      <w:r>
        <w:t>Iniziare dai baseline 01–05 con BUY/SELL separati.</w:t>
      </w:r>
    </w:p>
    <w:p>
      <w:pPr>
        <w:pStyle w:val="ListBullet"/>
      </w:pPr>
      <w:r>
        <w:t>06 è ricerca a un solo asse.</w:t>
      </w:r>
    </w:p>
    <w:p>
      <w:pPr>
        <w:pStyle w:val="ListBullet"/>
      </w:pPr>
      <w:r>
        <w:t>07 ingresso, 08 filtri, 09 rischio, 10 uscita.</w:t>
      </w:r>
    </w:p>
    <w:p>
      <w:pPr>
        <w:pStyle w:val="ListBullet"/>
      </w:pPr>
      <w:r>
        <w:t>Eseguire IS, OOS e forward demo cronologici.</w:t>
      </w:r>
    </w:p>
    <w:p>
      <w:pPr>
        <w:pStyle w:val="ListBullet"/>
      </w:pPr>
      <w:r>
        <w:t>Controllare Status, RelativePath e SHA256.</w:t>
      </w:r>
    </w:p>
    <w:p>
      <w:pPr>
        <w:pStyle w:val="ListBullet"/>
      </w:pPr>
      <w:r>
        <w:t>Solo USE esplicito autorizza l'ambiente definito.</w:t>
      </w:r>
    </w:p>
    <w:p>
      <w:pPr>
        <w:pStyle w:val="Heading2"/>
      </w:pPr>
      <w:r>
        <w:rPr>
          <w:color w:val="1E3A5F"/>
        </w:rPr>
        <w:t>Stati e decisione</w:t>
      </w:r>
    </w:p>
    <w:p>
      <w:r>
        <w:t>Lo stato esatto resta e viene mappato prudentemente in USE, REOPTIMIZE, RESEARCH o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Gestione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Avviso di rischio</w:t>
      </w:r>
    </w:p>
    <w:p>
      <w:r>
        <w:t>Nessun EA, set o storico garantisce il futuro. Validare OOS e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