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Eksiksiz Kullanım Kılavuzu</w:t>
      </w:r>
    </w:p>
    <w:p>
      <w:r>
        <w:t>Güncel EA kaynağı ve set manifestosundan üretilen yetkili referans — EA 1.11 — 127 inputs — 3738 sets</w:t>
      </w:r>
    </w:p>
    <w:p>
      <w:pPr>
        <w:pStyle w:val="Heading2"/>
      </w:pPr>
      <w:r>
        <w:rPr>
          <w:color w:val="1E3A5F"/>
        </w:rPr>
        <w:t>Kapsam ve doğruluk kaynakları</w:t>
      </w:r>
    </w:p>
    <w:p>
      <w:r>
        <w:t>EA kaynağı inputs, varsayılanlar ve özellikleri; manifesto her set, durum, yol ve SHA-256 değerini tanımlar. Eski Quantum arşivi yalnızca tarihseldir.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Üretilmiş belgedir; parametre adları EA ile tam olarak aynıdır.</w:t>
      </w:r>
    </w:p>
    <w:p>
      <w:pPr>
        <w:pStyle w:val="Heading2"/>
      </w:pPr>
      <w:r>
        <w:rPr>
          <w:color w:val="1E3A5F"/>
        </w:rPr>
        <w:t>Kurulum ve ilk test</w:t>
      </w:r>
    </w:p>
    <w:p>
      <w:r>
        <w:t>Eşleşen EX5'i kurun, Tester Inputs'ta set yükleyin, doğru sembolü seçin ve Journal'ı kontrol edin.</w:t>
      </w:r>
    </w:p>
    <w:p>
      <w:pPr>
        <w:pStyle w:val="Heading2"/>
      </w:pPr>
      <w:r>
        <w:rPr>
          <w:color w:val="1E3A5F"/>
        </w:rPr>
        <w:t>Sinyaller ve giriş yöntemleri</w:t>
      </w:r>
    </w:p>
    <w:p>
      <w:r>
        <w:t>Altı motor reversal, signal/reference cross ve baseline/reference cross olaylarını paylaşır. And aynı kapanmış barı; All herhangi bir olayı ifade eder.</w:t>
      </w:r>
    </w:p>
    <w:p>
      <w:pPr>
        <w:pStyle w:val="ListBullet"/>
      </w:pPr>
      <w:r>
        <w:t>On iki yerel motor: MACD, EMA Cross, Momentum, Stochastic, TRIX, RSI, CCI, Williams %R, DeMarker, MFI, OsMA ve Ichimoku.</w:t>
      </w:r>
    </w:p>
    <w:p>
      <w:pPr>
        <w:pStyle w:val="ListBullet"/>
      </w:pPr>
      <w:r>
        <w:t>Kapanmış barda açık AND/OR anlamlı yedi giriş yöntemi.</w:t>
      </w:r>
    </w:p>
    <w:p>
      <w:pPr>
        <w:pStyle w:val="ListBullet"/>
      </w:pPr>
      <w:r>
        <w:t>Bağımsız MTF, MA, ADX, ATR ve news filtreleri.</w:t>
      </w:r>
    </w:p>
    <w:p>
      <w:pPr>
        <w:pStyle w:val="ListBullet"/>
      </w:pPr>
      <w:r>
        <w:t>Dört PositionSizeMode ve equity/margin koruması.</w:t>
      </w:r>
    </w:p>
    <w:p>
      <w:pPr>
        <w:pStyle w:val="ListBullet"/>
      </w:pPr>
      <w:r>
        <w:t>Stop, take, breakeven, trailing ve reversal çıkışı oluşturur.</w:t>
      </w:r>
    </w:p>
    <w:p>
      <w:pPr>
        <w:pStyle w:val="ListBullet"/>
      </w:pPr>
      <w:r>
        <w:t>Dashboard, zamanlama, diller ve WFO bütünleşiktir.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Filtreler</w:t>
      </w:r>
    </w:p>
    <w:p>
      <w:r>
        <w:t>MTF üst zaman MACD hizalamasıdır; MA, ADX, ATR volatility ve news bağımsızdır.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Yürütme ve pozisyon yönetimi</w:t>
      </w:r>
    </w:p>
    <w:p>
      <w:r>
        <w:t>Spread, margin, volume step, tick size ve stops/freeze sınırları emri etkiler. Journal üzerinden doğrulayın.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Çıkış yığını</w:t>
      </w:r>
    </w:p>
    <w:p>
      <w:r>
        <w:t>Stop, ATR take, breakeven, ATR trailing ve reversal exit ayrıdır. ReversalExitUseEntryFilters çıkış filtresini yönetir.</w:t>
      </w:r>
    </w:p>
    <w:p>
      <w:pPr>
        <w:pStyle w:val="Heading2"/>
      </w:pPr>
      <w:r>
        <w:rPr>
          <w:color w:val="1E3A5F"/>
        </w:rPr>
        <w:t>Risk ve toparlanma</w:t>
      </w:r>
    </w:p>
    <w:p>
      <w:r>
        <w:t>Tek PositionSizeMode seçin. Percentage/Fixed-R stop ister. Grid, Martingale ve D'Alembert araştırma modlarıdır.</w:t>
      </w:r>
    </w:p>
    <w:p>
      <w:pPr>
        <w:pStyle w:val="Heading2"/>
      </w:pPr>
      <w:r>
        <w:rPr>
          <w:color w:val="1E3A5F"/>
        </w:rPr>
        <w:t>Zaman, arayüz ve WFO</w:t>
      </w:r>
    </w:p>
    <w:p>
      <w:r>
        <w:t>Broker sunucu zamanı, gece aralığı ve Saturday/Sunday desteklenir. WFO IS/OOS tanımlar.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Döngü dashboard telemetrisi</w:t>
      </w:r>
    </w:p>
    <w:p>
      <w:r>
        <w:t>Panel lot hesabı ve sepet kapatmayla aynı durum snapshot'larını kullanır.</w:t>
      </w:r>
    </w:p>
    <w:p>
      <w:pPr>
        <w:pStyle w:val="ListBullet"/>
      </w:pPr>
      <w:r>
        <w:t>Periyodik tick yenilemesi saniyede birle sınırlıdır; başlatma ve trade olayları hemen yenileyebilir.</w:t>
      </w:r>
    </w:p>
    <w:p>
      <w:pPr>
        <w:pStyle w:val="ListBullet"/>
      </w:pPr>
      <w:r>
        <w:t>Balance ve Equity tüm hesaptır. Closed P&amp;L OnInit sonrası değişimdir; Open P&amp;L ve positions günceldir ve Symbol + Magic ile filtrelenir.</w:t>
      </w:r>
    </w:p>
    <w:p>
      <w:pPr>
        <w:pStyle w:val="ListBullet"/>
      </w:pPr>
      <w:r>
        <w:t>Martingale BUY/SELL için ardışık kayıp, döngü kayıp sayısı ve brüt tutar, recovered, deficit ve deficit × Multiplicador target gösterir.</w:t>
      </w:r>
    </w:p>
    <w:p>
      <w:pPr>
        <w:pStyle w:val="ListBullet"/>
      </w:pPr>
      <w:r>
        <w:t>MaxMartingaleSteps aşılırsa hard reset eski deficit'i siler ve sonraki emir base lot kullanır. Taraf başına en fazla bir açık pozisyon.</w:t>
      </w:r>
    </w:p>
    <w:p>
      <w:pPr>
        <w:pStyle w:val="ListBullet"/>
      </w:pPr>
      <w:r>
        <w:t>D'Alembert BUY/SELL güncel seviye ve normalize edilmiş sonraki lotu gösterir.</w:t>
      </w:r>
    </w:p>
    <w:p>
      <w:pPr>
        <w:pStyle w:val="ListBullet"/>
      </w:pPr>
      <w:r>
        <w:t>Grid legs/volume, maliyetler dahil realized, open P&amp;L, cycle P&amp;L, başlangıçta sabit target ve remaining gösterir.</w:t>
      </w:r>
    </w:p>
    <w:p>
      <w:pPr>
        <w:pStyle w:val="ListBullet"/>
      </w:pPr>
      <w:r>
        <w:t>Anchor en son onaylı pozisyondur. BUY kesin olarak anchor − ATR × DistanciaMinima altı, SELL kesin olarak üstü ister; ilerleme ATR cinsindendir.</w:t>
      </w:r>
    </w:p>
    <w:p>
      <w:pPr>
        <w:pStyle w:val="ListBullet"/>
      </w:pPr>
      <w:r>
        <w:t>Separate yalnız flat olan tarafın döngüsünü bitirir; Unified iki taraf da flat olunca biter. İşlemdeki emirler reset'i geciktirir.</w:t>
      </w:r>
    </w:p>
    <w:p>
      <w:pPr>
        <w:pStyle w:val="ListBullet"/>
      </w:pPr>
      <w:r>
        <w:t>Target kapanış isteğini tetikler; gerçek çıkış komisyonu, fee ve slippage sonucu hedefin biraz altında bırakabilir.</w:t>
      </w:r>
    </w:p>
    <w:p>
      <w:pPr>
        <w:pStyle w:val="ListBullet"/>
      </w:pPr>
      <w:r>
        <w:t>InterfaceLanguage 11 dili korur. Auto Tester'da English, live'da terminal dilini kullanır; çevrilmemiş label English'e döner.</w:t>
      </w:r>
    </w:p>
    <w:p>
      <w:pPr>
        <w:pStyle w:val="Heading2"/>
      </w:pPr>
      <w:r>
        <w:rPr>
          <w:color w:val="1E3A5F"/>
        </w:rPr>
        <w:t>Uyumluluk ve kısıtlar</w:t>
      </w:r>
    </w:p>
    <w:p>
      <w:r>
        <w:t>Temkinli kurallardır; daha sıkı broker limitleri önceliklidir.</w:t>
      </w:r>
    </w:p>
    <w:p>
      <w:pPr>
        <w:pStyle w:val="ListBullet"/>
      </w:pPr>
      <w:r>
        <w:t>Percentage ve Fixed-R için AtivarStop=true gerekir.</w:t>
      </w:r>
    </w:p>
    <w:p>
      <w:pPr>
        <w:pStyle w:val="ListBullet"/>
      </w:pPr>
      <w:r>
        <w:t>Grid yalnızca Monetary/Fixed Lot, Recovery_None ve hedging hesap destekler.</w:t>
      </w:r>
    </w:p>
    <w:p>
      <w:pPr>
        <w:pStyle w:val="ListBullet"/>
      </w:pPr>
      <w:r>
        <w:t>Grid için take, pozitif DistanciaMinima ve en az iki limit gerekir.</w:t>
      </w:r>
    </w:p>
    <w:p>
      <w:pPr>
        <w:pStyle w:val="ListBullet"/>
      </w:pPr>
      <w:r>
        <w:t>Sepet açık kaldığı sürece döngünün gerçekleşmiş zararları, swap, komisyon ve ücretleri hedefe ulaşmak için gereken sonuçta kalır; tek bir ayağın kârı bu maliyetleri silmez.</w:t>
      </w:r>
    </w:p>
    <w:p>
      <w:pPr>
        <w:pStyle w:val="ListBullet"/>
      </w:pPr>
      <w:r>
        <w:t>Grid_SeparateProfit modunda BUY ve SELL döngüleri bağımsızdır. Bir taraftaki tüm pozisyonlar kaybolursa o tarafın döngüsü biter; sonraki giriş kapanmış açığı taşımadan yeni döngü başlatır.</w:t>
      </w:r>
    </w:p>
    <w:p>
      <w:pPr>
        <w:pStyle w:val="ListBullet"/>
      </w:pPr>
      <w:r>
        <w:t>D'Alembert yalnızca Fixed Lot, Grid_Disabled ve DAlembertStep&gt;0.</w:t>
      </w:r>
    </w:p>
    <w:p>
      <w:pPr>
        <w:pStyle w:val="ListBullet"/>
      </w:pPr>
      <w:r>
        <w:t>Martingale MaxMartingaleSteps ve MaxMartingaleLot sınırlarına uyar.</w:t>
      </w:r>
    </w:p>
    <w:p>
      <w:pPr>
        <w:pStyle w:val="ListBullet"/>
      </w:pPr>
      <w:r>
        <w:t>OnOppositeOrder hedging, iki yön ve grid kapalı ister.</w:t>
      </w:r>
    </w:p>
    <w:p>
      <w:pPr>
        <w:pStyle w:val="ListBullet"/>
      </w:pPr>
      <w:r>
        <w:t>News backtest Common\Files içinde CSV ister.</w:t>
      </w:r>
    </w:p>
    <w:p>
      <w:pPr>
        <w:pStyle w:val="ListBullet"/>
      </w:pPr>
      <w:r>
        <w:t>Zamanlama broker sunucu saatini kullanır.</w:t>
      </w:r>
    </w:p>
    <w:p>
      <w:pPr>
        <w:pStyle w:val="ListBullet"/>
      </w:pPr>
      <w:r>
        <w:t>Her broker için suffix ve sembol özelliklerini doğrulayın.</w:t>
      </w:r>
    </w:p>
    <w:p>
      <w:pPr>
        <w:pStyle w:val="Heading2"/>
      </w:pPr>
      <w:r>
        <w:rPr>
          <w:color w:val="1E3A5F"/>
        </w:rPr>
        <w:t>Bulunan set kütüphanesi</w:t>
      </w:r>
    </w:p>
    <w:p>
      <w:r>
        <w:t>Sayılar dosya ve manifestodan okunur. Her set bir araştırma hipotezidir.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pStyle w:val="Heading2"/>
      </w:pPr>
      <w:r>
        <w:rPr>
          <w:color w:val="1E3A5F"/>
        </w:rPr>
        <w:t>Tam inputs referansı</w:t>
      </w:r>
    </w:p>
    <w:p>
      <w:r>
        <w:t>Tablo kaynak sırasındadır. Ayırıcı dizeler .set şemasının parçasıdır.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