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WFO Optimizasyon Kılavuzu</w:t>
      </w:r>
    </w:p>
    <w:p>
      <w:r>
        <w:t>Güncel EA kaynağı ve set manifestosundan üretilen yetkili referans — EA 1.11 — 127 inputs — 3738 sets</w:t>
      </w:r>
    </w:p>
    <w:p>
      <w:r>
        <w:t>Tarihe dikkat. WFO açıkken OnTester, testin gerçek bitişini input_end_date ile karşılaştırır ve test daha erken bittiyse sıfır döndürür (80 saatlik tolerans). Yanlış tarih tüm geçişleri sıfırlar ve optimizasyonun tamamı bozulmuş gibi görünür. input_end_date değerini Strateji Test Cihazında ayarladığınız bitiş tarihiyle aynı yapın.</w:t>
      </w:r>
    </w:p>
    <w:p>
      <w:pPr>
        <w:pStyle w:val="Heading2"/>
      </w:pPr>
      <w:r>
        <w:rPr>
          <w:color w:val="1E3A5F"/>
        </w:rPr>
        <w:t>Kapsam ve doğruluk kaynakları</w:t>
      </w:r>
    </w:p>
    <w:p>
      <w:r>
        <w:t>EA kaynağı inputs, varsayılanlar ve özellikleri; manifesto her set, durum, yol ve SHA-256 değerini tanımlar. Eski Quantum arşivi yalnızca tarihseldir.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Üretilmiş belgedir; parametre adları EA ile tam olarak aynıdır.</w:t>
      </w:r>
    </w:p>
    <w:p>
      <w:pPr>
        <w:pStyle w:val="Heading2"/>
      </w:pPr>
      <w:r>
        <w:rPr>
          <w:color w:val="1E3A5F"/>
        </w:rPr>
        <w:t>Walk-forward yöntemi</w:t>
      </w:r>
    </w:p>
    <w:p>
      <w:r>
        <w:t>Gerçekçi spread, komisyon, swap ve slippage ile kronolojik IS, OOS ve forward demo kullanın.</w:t>
      </w:r>
    </w:p>
    <w:p>
      <w:pPr>
        <w:pStyle w:val="Heading2"/>
      </w:pPr>
      <w:r>
        <w:rPr>
          <w:color w:val="1E3A5F"/>
        </w:rPr>
        <w:t>Güvenli akış</w:t>
      </w:r>
    </w:p>
    <w:p>
      <w:r>
        <w:t>Her aşamada tek matris değiştirin ve kanıtları saklayın.</w:t>
      </w:r>
    </w:p>
    <w:p>
      <w:pPr>
        <w:pStyle w:val="ListBullet"/>
      </w:pPr>
      <w:r>
        <w:t>EX5, kaynak, set şeması ve manifesto sürümünü eşleştirin.</w:t>
      </w:r>
    </w:p>
    <w:p>
      <w:pPr>
        <w:pStyle w:val="ListBullet"/>
      </w:pPr>
      <w:r>
        <w:t>Kütüphaneyi Strategy Tester Inputs ile yükleyin.</w:t>
      </w:r>
    </w:p>
    <w:p>
      <w:pPr>
        <w:pStyle w:val="ListBullet"/>
      </w:pPr>
      <w:r>
        <w:t>Broker'ın tam sembol ve suffix değerini eşleyin.</w:t>
      </w:r>
    </w:p>
    <w:p>
      <w:pPr>
        <w:pStyle w:val="ListBullet"/>
      </w:pPr>
      <w:r>
        <w:t>01–05 baseline ile başlayıp BUY/SELL'i ayırın.</w:t>
      </w:r>
    </w:p>
    <w:p>
      <w:pPr>
        <w:pStyle w:val="ListBullet"/>
      </w:pPr>
      <w:r>
        <w:t>06 tek eksenli araştırmadır.</w:t>
      </w:r>
    </w:p>
    <w:p>
      <w:pPr>
        <w:pStyle w:val="ListBullet"/>
      </w:pPr>
      <w:r>
        <w:t>07 giriş, 08 filtre, 09 risk, 10 çıkıştır.</w:t>
      </w:r>
    </w:p>
    <w:p>
      <w:pPr>
        <w:pStyle w:val="ListBullet"/>
      </w:pPr>
      <w:r>
        <w:t>IS, OOS ve forward demo'yu kronolojik uygulayın.</w:t>
      </w:r>
    </w:p>
    <w:p>
      <w:pPr>
        <w:pStyle w:val="ListBullet"/>
      </w:pPr>
      <w:r>
        <w:t>Status, RelativePath ve SHA256 kontrol edin.</w:t>
      </w:r>
    </w:p>
    <w:p>
      <w:pPr>
        <w:pStyle w:val="ListBullet"/>
      </w:pPr>
      <w:r>
        <w:t>Yalnızca açık USE tanımlı ortam için adaydır.</w:t>
      </w:r>
    </w:p>
    <w:p>
      <w:pPr>
        <w:pStyle w:val="Heading2"/>
      </w:pPr>
      <w:r>
        <w:rPr>
          <w:color w:val="1E3A5F"/>
        </w:rPr>
        <w:t>Durumlar ve karar</w:t>
      </w:r>
    </w:p>
    <w:p>
      <w:r>
        <w:t>Asıl durum korunur ve USE, REOPTIMIZE, RESEARCH veya HOLD olarak temkinli eşlenir.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Sistem</w:t>
            </w:r>
          </w:p>
        </w:tc>
        <w:tc>
          <w:tcPr>
            <w:tcW w:type="dxa" w:w="2880"/>
          </w:tcPr>
          <w:p>
            <w:r>
              <w:t>Yönetim</w:t>
            </w:r>
          </w:p>
        </w:tc>
        <w:tc>
          <w:tcPr>
            <w:tcW w:type="dxa" w:w="2880"/>
          </w:tcPr>
          <w:p>
            <w:r>
              <w:t>Set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Risk uyarısı</w:t>
      </w:r>
    </w:p>
    <w:p>
      <w:r>
        <w:t>EA, set veya geçmiş sonuç geleceği garanti etmez. OOS ve demo ile doğrulayın.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