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Teknik Uyumluluk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Uyumluluk ve kısıtlar</w:t>
      </w:r>
    </w:p>
    <w:p>
      <w:r>
        <w:t>Temkinli kurallardır; daha sıkı broker limitleri önceliklidir.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Sinyaller ve giriş yöntemleri</w:t>
      </w:r>
    </w:p>
    <w:p>
      <w:r>
        <w:t>Altı motor reversal, signal/reference cross ve baseline/reference cross olaylarını paylaşır. And aynı kapanmış barı; All herhangi bir olayı ifade eder.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Durumlar ve karar</w:t>
      </w:r>
    </w:p>
    <w:p>
      <w:r>
        <w:t>Asıl durum korunur ve USE, REOPTIMIZE, RESEARCH veya HOLD olarak temkinli eşlenir.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</w:t>
            </w:r>
          </w:p>
        </w:tc>
        <w:tc>
          <w:tcPr>
            <w:tcW w:type="dxa" w:w="2880"/>
          </w:tcPr>
          <w:p>
            <w:r>
              <w:t>Yönetim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