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Manual Completo</w:t>
      </w:r>
    </w:p>
    <w:p>
      <w:r>
        <w:t>Referência autoritativa gerada da fonte atual da EA e do manifesto de sets — EA 1.11 — 127 inputs — 3738 sets</w:t>
      </w:r>
    </w:p>
    <w:p>
      <w:pPr>
        <w:pStyle w:val="Heading2"/>
      </w:pPr>
      <w:r>
        <w:rPr>
          <w:color w:val="1E3A5F"/>
        </w:rPr>
        <w:t>Escopo e fontes de verdade</w:t>
      </w:r>
    </w:p>
    <w:p>
      <w:r>
        <w:t>A fonte da EA define o esquema de inputs, padrões, enums e recursos atuais. O manifesto define cada set, família, status, caminho e hash de integridade. O material Quantum antigo é apenas histórico e não deve orientar a versão atual.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gerado. Os identificadores dos parâmetros permanecem idênticos aos declarados pela EA.</w:t>
      </w:r>
    </w:p>
    <w:p>
      <w:pPr>
        <w:pStyle w:val="Heading2"/>
      </w:pPr>
      <w:r>
        <w:rPr>
          <w:color w:val="1E3A5F"/>
        </w:rPr>
        <w:t>Instalação e primeiro teste</w:t>
      </w:r>
    </w:p>
    <w:p>
      <w:r>
        <w:t>Instale ou compile o EX5 correspondente, copie os sets ao perfil Tester, selecione o símbolo correto do broker, carregue um set em Inputs e confira cada mensagem de validação.</w:t>
      </w:r>
    </w:p>
    <w:p>
      <w:pPr>
        <w:pStyle w:val="Heading2"/>
      </w:pPr>
      <w:r>
        <w:rPr>
          <w:color w:val="1E3A5F"/>
        </w:rPr>
        <w:t>Motores de sinal e métodos de entrada</w:t>
      </w:r>
    </w:p>
    <w:p>
      <w:r>
        <w:t>O indicador escolhido fornece três eventos universais: reversão, cruzamento de sinal/referência e cruzamento de base/referência. Métodos com “And” exigem os eventos na mesma barra fechada; “All” aceita qualquer um dos três. Há no máximo um despacho por lado em cada barra de sinal selecionada.</w:t>
      </w:r>
    </w:p>
    <w:p>
      <w:pPr>
        <w:pStyle w:val="ListBullet"/>
      </w:pPr>
      <w:r>
        <w:t>Doze motores nativos: MACD, cruzamento de EMA, Momentum, Estocástico, TRIX, RSI, CCI, Williams %R, DeMarker, MFI, OsMA e Ichimoku.</w:t>
      </w:r>
    </w:p>
    <w:p>
      <w:pPr>
        <w:pStyle w:val="ListBullet"/>
      </w:pPr>
      <w:r>
        <w:t>Sete métodos de gatilho com semântica explícita de reversão, cruzamentos, AND e OR.</w:t>
      </w:r>
    </w:p>
    <w:p>
      <w:pPr>
        <w:pStyle w:val="ListBullet"/>
      </w:pPr>
      <w:r>
        <w:t>Filtros independentes MTF/MACD, média móvel, ADX, volatilidade ATR e notícias.</w:t>
      </w:r>
    </w:p>
    <w:p>
      <w:pPr>
        <w:pStyle w:val="ListBullet"/>
      </w:pPr>
      <w:r>
        <w:t>Tamanho Percentage, Monetary, Fixed Lot ou Fixed-R, com proteções globais de risco.</w:t>
      </w:r>
    </w:p>
    <w:p>
      <w:pPr>
        <w:pStyle w:val="ListBullet"/>
      </w:pPr>
      <w:r>
        <w:t>Stop, take ATR, breakeven, trailing e reversão formam a pilha de saída.</w:t>
      </w:r>
    </w:p>
    <w:p>
      <w:pPr>
        <w:pStyle w:val="ListBullet"/>
      </w:pPr>
      <w:r>
        <w:t>Painel, marcações de negócios, idiomas, agenda semanal e WFO integram a operação.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Filtros</w:t>
      </w:r>
    </w:p>
    <w:p>
      <w:r>
        <w:t>O alinhamento MTF é uma camada MACD em timeframes superiores. MA, ADX, volatilidade ATR e notícias são filtros independentes. Empilhar filtros reduz a amostra e deve ser tratado como hipótese de pesquisa.</w:t>
      </w:r>
    </w:p>
    <w:p>
      <w:pPr>
        <w:pStyle w:val="Heading2"/>
      </w:pPr>
      <w:r>
        <w:rPr>
          <w:color w:val="1E3A5F"/>
        </w:rPr>
        <w:t>Filtro de notícias e fluxo do CSV</w:t>
      </w:r>
    </w:p>
    <w:p>
      <w:r>
        <w:t>No mercado ao vivo, a EA consulta o Calendário Econômico do MT5 no horário do servidor e bloqueia novas entradas se a consulta falhar. O tester não acessa esse calendário: execute MQL5\Scripts\White Rabbit News Exporter em um gráfico de conta real/demo, cubra todo o período do teste e grave NewsCSVFile em Common\Files. O cabeçalho separado por ponto e vírgula é datetime;currency;importance;event_name; importância 2 é moderada e 3 é alta. Use o mesmo broker/fuso do servidor. Em símbolos com sufixo ou não-FX, informe ExportMoedas e NewsMoedasManual; as moedas manuais têm prioridade.</w:t>
      </w:r>
    </w:p>
    <w:p>
      <w:pPr>
        <w:pStyle w:val="Heading2"/>
      </w:pPr>
      <w:r>
        <w:rPr>
          <w:color w:val="1E3A5F"/>
        </w:rPr>
        <w:t>Execução e gestão de posições</w:t>
      </w:r>
    </w:p>
    <w:p>
      <w:r>
        <w:t>Spread, margem, passo de volume, tick size, stops level e freeze level do broker afetam a execução. SL/TP habilitados integram a solicitação de entrada. Fechamentos podem exigir nova tentativa; confirme tudo no Diário.</w:t>
      </w:r>
    </w:p>
    <w:p>
      <w:pPr>
        <w:pStyle w:val="Heading2"/>
      </w:pPr>
      <w:r>
        <w:rPr>
          <w:color w:val="1E3A5F"/>
        </w:rPr>
        <w:t>Ciclo do grid e espaçamento por ATR</w:t>
      </w:r>
    </w:p>
    <w:p>
      <w:r>
        <w:t>Cada perna adicional mede a distância a partir da posição confirmada mais recente do mesmo lado e exige ATR × DistanciaMinima. A ordem inicial não pode disparar outra recursivamente no mesmo cálculo; no ciclo seguinte ela já é a âncora. O grid não usa TPs individuais: Separate avalia ciclos BUY/SELL independentes contra alvos congelados e encerra um lado quando ele fica flat; Unified avalia a cesta BUY+SELL agregada e termina quando ambos ficam flat. Comissões, swap, taxas e pernas já estopadas continuam no resultado enquanto o ciclo correspondente permanece aberto. O alvo dispara a solicitação de fechamento; custos reais e slippage da saída podem deixar o resultado final ligeiramente abaixo dele. No mercado ao vivo, o estado é preservado ao reiniciar a EA. Grid exige conta hedge real e nova otimização após mudança de EA, contrato ou custos.</w:t>
      </w:r>
    </w:p>
    <w:p>
      <w:pPr>
        <w:pStyle w:val="Heading2"/>
      </w:pPr>
      <w:r>
        <w:rPr>
          <w:color w:val="1E3A5F"/>
        </w:rPr>
        <w:t>Pilha de saídas</w:t>
      </w:r>
    </w:p>
    <w:p>
      <w:r>
        <w:t>Stop, take ATR orgânico, breakeven, trailing ATR e saída por reversão são controles separados. A saída por indicador usa o sinal oposto bruto por padrão; ative ReversalExitUseEntryFilters apenas para exigir também os filtros de entrada.</w:t>
      </w:r>
    </w:p>
    <w:p>
      <w:pPr>
        <w:pStyle w:val="Heading2"/>
      </w:pPr>
      <w:r>
        <w:rPr>
          <w:color w:val="1E3A5F"/>
        </w:rPr>
        <w:t>Risco e recuperação</w:t>
      </w:r>
    </w:p>
    <w:p>
      <w:r>
        <w:t>Escolha um único PositionSizeMode. Percentage e Fixed-R exigem stop válido. Grid, Martingale e D'Alembert são modos de recuperação para pesquisa. Limites de exposição, perda diária, drawdown e margem livre são proteções rígidas.</w:t>
      </w:r>
    </w:p>
    <w:p>
      <w:pPr>
        <w:pStyle w:val="Heading2"/>
      </w:pPr>
      <w:r>
        <w:rPr>
          <w:color w:val="1E3A5F"/>
        </w:rPr>
        <w:t>Horários, interface e WFO</w:t>
      </w:r>
    </w:p>
    <w:p>
      <w:r>
        <w:t>O horário usa o servidor do broker e pode atravessar a meia-noite. Sábado e domingo têm controles explícitos. O painel é opcional. Os inputs WFO definem janela in-sample, passo out-of-sample e critério de otimização.</w:t>
      </w:r>
    </w:p>
    <w:p>
      <w:pPr>
        <w:pStyle w:val="Heading2"/>
      </w:pPr>
      <w:r>
        <w:rPr>
          <w:color w:val="1E3A5F"/>
        </w:rPr>
        <w:t>Diagnóstico e utilitários fornecidos</w:t>
      </w:r>
    </w:p>
    <w:p>
      <w:r>
        <w:t>As abas Experts/Diário são a referência para inputs rejeitados, falhas de OrderCheck, indisponibilidade do calendário e tentativas de fechamento. Compile e execute MQL5\Scripts\WhiteRabbit Filters SelfTest; a última linha deve indicar zero falhas. Use White Rabbit News Exporter para criar o CSV e confirme período, moedas, delimitador e pasta Common\Files antes de um backtest com notícias.</w:t>
      </w:r>
    </w:p>
    <w:p>
      <w:pPr>
        <w:pStyle w:val="Heading2"/>
      </w:pPr>
      <w:r>
        <w:rPr>
          <w:color w:val="1E3A5F"/>
        </w:rPr>
        <w:t>Telemetria do dashboard de ciclos</w:t>
      </w:r>
    </w:p>
    <w:p>
      <w:r>
        <w:t>O painel usa os mesmos snapshots de estado empregados pelo loteamento e pelo fechamento das cestas.</w:t>
      </w:r>
    </w:p>
    <w:p>
      <w:pPr>
        <w:pStyle w:val="ListBullet"/>
      </w:pPr>
      <w:r>
        <w:t>A atualização periódica por tick é limitada a uma vez por segundo; inicialização e eventos de negociação podem solicitar atualização imediata.</w:t>
      </w:r>
    </w:p>
    <w:p>
      <w:pPr>
        <w:pStyle w:val="ListBullet"/>
      </w:pPr>
      <w:r>
        <w:t>Balance e Equity são da conta inteira. P&amp;L fechado é a variação desde OnInit e P&amp;L aberto/posições são o estado atual; estes últimos indicadores são filtrados por Symbol + Magic.</w:t>
      </w:r>
    </w:p>
    <w:p>
      <w:pPr>
        <w:pStyle w:val="ListBullet"/>
      </w:pPr>
      <w:r>
        <w:t>Martingale mostra, separadamente para BUY e SELL, perdas consecutivas, quantidade e valor bruto das perdas do ciclo, valor recuperado, déficit restante e alvo igual ao déficit × Multiplicador.</w:t>
      </w:r>
    </w:p>
    <w:p>
      <w:pPr>
        <w:pStyle w:val="ListBullet"/>
      </w:pPr>
      <w:r>
        <w:t>Ao exceder MaxMartingaleSteps, o ciclo Martingale sofre hard reset: o déficit antigo é descartado e a próxima ordem usa lote-base. Martingale exige no máximo uma posição aberta por lado.</w:t>
      </w:r>
    </w:p>
    <w:p>
      <w:pPr>
        <w:pStyle w:val="ListBullet"/>
      </w:pPr>
      <w:r>
        <w:t>D'Alembert mostra o nível atual e o próximo lote normalizado de BUY e SELL.</w:t>
      </w:r>
    </w:p>
    <w:p>
      <w:pPr>
        <w:pStyle w:val="ListBullet"/>
      </w:pPr>
      <w:r>
        <w:t>Grid mostra pernas e volume, realizado já incluindo custos, P&amp;L aberto, P&amp;L total do ciclo, alvo monetário congelado no início e valor que falta.</w:t>
      </w:r>
    </w:p>
    <w:p>
      <w:pPr>
        <w:pStyle w:val="ListBullet"/>
      </w:pPr>
      <w:r>
        <w:t>A âncora Grid é a posição confirmada mais recente. BUY só dispara estritamente abaixo de âncora − ATR × DistanciaMinima; SELL, estritamente acima de âncora + ATR × DistanciaMinima. O progresso mostra distância adversa em ATR versus o limite.</w:t>
      </w:r>
    </w:p>
    <w:p>
      <w:pPr>
        <w:pStyle w:val="ListBullet"/>
      </w:pPr>
      <w:r>
        <w:t>Em Separate, ficar flat encerra apenas o ciclo daquele lado; em Unified, o ciclo termina quando BUY e SELL ficam flat. Ordens ainda em trânsito adiam o reset.</w:t>
      </w:r>
    </w:p>
    <w:p>
      <w:pPr>
        <w:pStyle w:val="ListBullet"/>
      </w:pPr>
      <w:r>
        <w:t>O alvo é o gatilho para solicitar o fechamento. Comissão, fee e slippage efetivos da saída podem deixar o resultado final ligeiramente abaixo dele.</w:t>
      </w:r>
    </w:p>
    <w:p>
      <w:pPr>
        <w:pStyle w:val="ListBullet"/>
      </w:pPr>
      <w:r>
        <w:t>InterfaceLanguage preserva 11 idiomas. Auto usa inglês no Tester e o idioma do terminal ao vivo; rótulos sem tradução específica têm fallback para inglês.</w:t>
      </w:r>
    </w:p>
    <w:p>
      <w:pPr>
        <w:pStyle w:val="Heading2"/>
      </w:pPr>
      <w:r>
        <w:rPr>
          <w:color w:val="1E3A5F"/>
        </w:rPr>
        <w:t>Combinações suportadas e restrições</w:t>
      </w:r>
    </w:p>
    <w:p>
      <w:r>
        <w:t>Estas são regras operacionais conservadoras da arquitetura atual. O broker pode impor limites mais rígidos e um backtest positivo não corrige um modo de conta incompatível.</w:t>
      </w:r>
    </w:p>
    <w:p>
      <w:pPr>
        <w:pStyle w:val="ListBullet"/>
      </w:pPr>
      <w:r>
        <w:t>PositionSize_Percentage e PositionSize_FixedR exigem AtivarStop=true e um stop calculável.</w:t>
      </w:r>
    </w:p>
    <w:p>
      <w:pPr>
        <w:pStyle w:val="ListBullet"/>
      </w:pPr>
      <w:r>
        <w:t>Grid aceita somente PositionSize_Monetary ou PositionSize_FixedLot, Recovery_None e conta hedge real.</w:t>
      </w:r>
    </w:p>
    <w:p>
      <w:pPr>
        <w:pStyle w:val="ListBullet"/>
      </w:pPr>
      <w:r>
        <w:t>Grid exige AtivarTake=true, DistanciaMinima&gt;0 e limite ativo igual a zero ou pelo menos duas posições.</w:t>
      </w:r>
    </w:p>
    <w:p>
      <w:pPr>
        <w:pStyle w:val="ListBullet"/>
      </w:pPr>
      <w:r>
        <w:t>Grid_SeparateProfit gerencia cada lado; Grid_UnifiedProfit gerencia o resultado agregado do ciclo.</w:t>
      </w:r>
    </w:p>
    <w:p>
      <w:pPr>
        <w:pStyle w:val="ListBullet"/>
      </w:pPr>
      <w:r>
        <w:t>Enquanto a cesta continuar aberta, perdas realizadas, swap, comissão e taxas do ciclo permanecem incorporados ao resultado necessário para alcançar o alvo; o lucro isolado de uma perna não apaga esses custos.</w:t>
      </w:r>
    </w:p>
    <w:p>
      <w:pPr>
        <w:pStyle w:val="ListBullet"/>
      </w:pPr>
      <w:r>
        <w:t>Em Grid_SeparateProfit, BUY e SELL têm ciclos independentes. Se todas as posições de um lado desaparecerem, o ciclo daquele lado termina; uma entrada futura inicia um novo ciclo, sem transportar o déficit encerrado.</w:t>
      </w:r>
    </w:p>
    <w:p>
      <w:pPr>
        <w:pStyle w:val="ListBullet"/>
      </w:pPr>
      <w:r>
        <w:t>Recovery_DAlembert é exclusivo de Fixed Lot, Grid_Disabled e DAlembertStep&gt;0.</w:t>
      </w:r>
    </w:p>
    <w:p>
      <w:pPr>
        <w:pStyle w:val="ListBullet"/>
      </w:pPr>
      <w:r>
        <w:t>Recovery_Martingale respeita MaxMartingaleSteps e MaxMartingaleLot; zero significa sem teto adicional.</w:t>
      </w:r>
    </w:p>
    <w:p>
      <w:pPr>
        <w:pStyle w:val="ListBullet"/>
      </w:pPr>
      <w:r>
        <w:t>ReversalExit_OnOppositeOrder exige conta hedge, Hedging=true, BUY e SELL habilitados e grid desligado.</w:t>
      </w:r>
    </w:p>
    <w:p>
      <w:pPr>
        <w:pStyle w:val="ListBullet"/>
      </w:pPr>
      <w:r>
        <w:t>O backtest com notícias requer NewsCSVFile em Common\Files; NewsMoedasManual tem precedência sobre detecção automática.</w:t>
      </w:r>
    </w:p>
    <w:p>
      <w:pPr>
        <w:pStyle w:val="ListBullet"/>
      </w:pPr>
      <w:r>
        <w:t>Horários usam o servidor do broker; intervalos noturnos e dias de fim de semana devem ser testados explicitamente.</w:t>
      </w:r>
    </w:p>
    <w:p>
      <w:pPr>
        <w:pStyle w:val="ListBullet"/>
      </w:pPr>
      <w:r>
        <w:t>Símbolo, sufixo, tamanho de contrato, tick value, volume mínimo e custos devem ser revalidados por broker.</w:t>
      </w:r>
    </w:p>
    <w:p>
      <w:pPr>
        <w:pStyle w:val="Heading2"/>
      </w:pPr>
      <w:r>
        <w:rPr>
          <w:color w:val="1E3A5F"/>
        </w:rPr>
        <w:t>Biblioteca de sets detectada</w:t>
      </w:r>
    </w:p>
    <w:p>
      <w:r>
        <w:t>Cada .set é uma hipótese de pesquisa ou otimização. Todas as contagens vêm do sistema de arquivos e do manifesto atual; nenhuma quantidade está fixa no modelo deste documento. Contagens e fingerprints foram lidos no momento da geração.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Pasta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Baselines por ativo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Baselines por ativo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Baselines por ativo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Baselines por ativo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Baselines por ativo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Pesquisa controlada de um eixo.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Matriz indicador × método × gestão.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Combinações dos filtros de sinal.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Modelos de tamanho, risco e recuperação compatíveis.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Combinações dos controles de saída.</w:t>
            </w:r>
          </w:p>
        </w:tc>
      </w:tr>
    </w:tbl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pStyle w:val="Heading2"/>
      </w:pPr>
      <w:r>
        <w:rPr>
          <w:color w:val="1E3A5F"/>
        </w:rPr>
        <w:t>Referência completa dos inputs</w:t>
      </w:r>
    </w:p>
    <w:p>
      <w:r>
        <w:t>A tabela segue a ordem exata da declaração. Strings separadoras fazem parte do esquema .set e devem permanecer, embora não alterem a lógica. A coluna Descrição da fonte é copiada literalmente do .mq5 em inglês para permitir auditoria direta.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Nº</w:t>
            </w:r>
          </w:p>
        </w:tc>
        <w:tc>
          <w:tcPr>
            <w:tcW w:type="dxa" w:w="960"/>
          </w:tcPr>
          <w:p>
            <w:r>
              <w:t>Seção</w:t>
            </w:r>
          </w:p>
        </w:tc>
        <w:tc>
          <w:tcPr>
            <w:tcW w:type="dxa" w:w="960"/>
          </w:tcPr>
          <w:p>
            <w:r>
              <w:t>Subseção</w:t>
            </w:r>
          </w:p>
        </w:tc>
        <w:tc>
          <w:tcPr>
            <w:tcW w:type="dxa" w:w="960"/>
          </w:tcPr>
          <w:p>
            <w:r>
              <w:t>Parâmetro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Padrão</w:t>
            </w:r>
          </w:p>
        </w:tc>
        <w:tc>
          <w:tcPr>
            <w:tcW w:type="dxa" w:w="960"/>
          </w:tcPr>
          <w:p>
            <w:r>
              <w:t>Descrição da fonte</w:t>
            </w:r>
          </w:p>
        </w:tc>
        <w:tc>
          <w:tcPr>
            <w:tcW w:type="dxa" w:w="960"/>
          </w:tcPr>
          <w:p>
            <w:r>
              <w:t>Opções do enum</w:t>
            </w:r>
          </w:p>
        </w:tc>
        <w:tc>
          <w:tcPr>
            <w:tcW w:type="dxa" w:w="960"/>
          </w:tcPr>
          <w:p>
            <w:r>
              <w:t>Notas operacionais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dentro de sua seção e valide a combinação completa.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