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Руководство по WFO</w:t>
      </w:r>
    </w:p>
    <w:p>
      <w:r>
        <w:t>Авторитетная справка, созданная из текущего исходника EA и манифеста set — EA 1.11 — 127 inputs — 3738 sets</w:t>
      </w:r>
    </w:p>
    <w:p>
      <w:r>
        <w:t>Внимание к дате. При включённом WFO функция OnTester сравнивает реальное окончание теста с input_end_date и возвращает ноль, если тест закончился раньше (допуск 80 часов). Неверная дата обнуляет все проходы, и вся оптимизация выглядит сломанной. Укажите в input_end_date ту же конечную дату, что и в тестере стратегий.</w:t>
      </w:r>
    </w:p>
    <w:p>
      <w:pPr>
        <w:pStyle w:val="Heading2"/>
      </w:pPr>
      <w:r>
        <w:rPr>
          <w:color w:val="1E3A5F"/>
        </w:rPr>
        <w:t>Область и источники истины</w:t>
      </w:r>
    </w:p>
    <w:p>
      <w:r>
        <w:t>Исходник EA определяет inputs, значения и функции; манифест определяет каждый set, статус, путь и SHA-256. Старый Quantum-архив не является текущей документацией.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Сгенерированный материал. Имена параметров точно соответствуют EA.</w:t>
      </w:r>
    </w:p>
    <w:p>
      <w:pPr>
        <w:pStyle w:val="Heading2"/>
      </w:pPr>
      <w:r>
        <w:rPr>
          <w:color w:val="1E3A5F"/>
        </w:rPr>
        <w:t>Walk-forward метод</w:t>
      </w:r>
    </w:p>
    <w:p>
      <w:r>
        <w:t>Используйте хронологические IS, OOS и forward demo с реальными spread, commission, swap и slippage.</w:t>
      </w:r>
    </w:p>
    <w:p>
      <w:pPr>
        <w:pStyle w:val="Heading2"/>
      </w:pPr>
      <w:r>
        <w:rPr>
          <w:color w:val="1E3A5F"/>
        </w:rPr>
        <w:t>Безопасный процесс</w:t>
      </w:r>
    </w:p>
    <w:p>
      <w:r>
        <w:t>Меняйте только одну матрицу за этап и сохраняйте доказательства решения.</w:t>
      </w:r>
    </w:p>
    <w:p>
      <w:pPr>
        <w:pStyle w:val="ListBullet"/>
      </w:pPr>
      <w:r>
        <w:t>Сверьте версии EX5, исходника, schema set и манифеста.</w:t>
      </w:r>
    </w:p>
    <w:p>
      <w:pPr>
        <w:pStyle w:val="ListBullet"/>
      </w:pPr>
      <w:r>
        <w:t>Загрузите библиотеку через Strategy Tester Inputs.</w:t>
      </w:r>
    </w:p>
    <w:p>
      <w:pPr>
        <w:pStyle w:val="ListBullet"/>
      </w:pPr>
      <w:r>
        <w:t>Сопоставьте точный символ и suffix брокера.</w:t>
      </w:r>
    </w:p>
    <w:p>
      <w:pPr>
        <w:pStyle w:val="ListBullet"/>
      </w:pPr>
      <w:r>
        <w:t>Начните с baseline 01–05 и тестируйте BUY/SELL отдельно.</w:t>
      </w:r>
    </w:p>
    <w:p>
      <w:pPr>
        <w:pStyle w:val="ListBullet"/>
      </w:pPr>
      <w:r>
        <w:t>Папка 06 — одноосевое исследование.</w:t>
      </w:r>
    </w:p>
    <w:p>
      <w:pPr>
        <w:pStyle w:val="ListBullet"/>
      </w:pPr>
      <w:r>
        <w:t>Папка 07 — система входа, 08 — фильтры, 09 — риск, 10 — выход.</w:t>
      </w:r>
    </w:p>
    <w:p>
      <w:pPr>
        <w:pStyle w:val="ListBullet"/>
      </w:pPr>
      <w:r>
        <w:t>Проводите хронологические IS, OOS и forward-demo тесты.</w:t>
      </w:r>
    </w:p>
    <w:p>
      <w:pPr>
        <w:pStyle w:val="ListBullet"/>
      </w:pPr>
      <w:r>
        <w:t>Проверяйте Status, RelativePath и SHA256.</w:t>
      </w:r>
    </w:p>
    <w:p>
      <w:pPr>
        <w:pStyle w:val="ListBullet"/>
      </w:pPr>
      <w:r>
        <w:t>Только явный USE означает готовность для указанной среды.</w:t>
      </w:r>
    </w:p>
    <w:p>
      <w:pPr>
        <w:pStyle w:val="Heading2"/>
      </w:pPr>
      <w:r>
        <w:rPr>
          <w:color w:val="1E3A5F"/>
        </w:rPr>
        <w:t>Статус манифеста и решение</w:t>
      </w:r>
    </w:p>
    <w:p>
      <w:r>
        <w:t>Исходный статус сохраняется и консервативно сопоставляется с USE, REOPTIMIZE, RESEARCH или HOLD.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Система</w:t>
            </w:r>
          </w:p>
        </w:tc>
        <w:tc>
          <w:tcPr>
            <w:tcW w:type="dxa" w:w="2880"/>
          </w:tcPr>
          <w:p>
            <w:r>
              <w:t>Управление</w:t>
            </w:r>
          </w:p>
        </w:tc>
        <w:tc>
          <w:tcPr>
            <w:tcW w:type="dxa" w:w="2880"/>
          </w:tcPr>
          <w:p>
            <w:r>
              <w:t>Наборы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as ATR multiples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organic take anchored on the last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no TP: let it run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behind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Mandatory breakeven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Closes on the indicator's opposite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with a target per side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with a single basket target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 doubles after a loss, one position per side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 grows in arithmetic steps after a loss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No SL and no TP: measures the raw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Предупреждение о риске</w:t>
      </w:r>
    </w:p>
    <w:p>
      <w:r>
        <w:t>EA, set и исторические результаты не гарантируют будущую доходность. Проверяйте OOS и demo.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