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Guía de optimización WFO</w:t>
      </w:r>
    </w:p>
    <w:p>
      <w:r>
        <w:t>Referencia autoritativa generada desde la fuente actual y el manifiesto de sets — EA 1.11 — 127 inputs — 3738 sets</w:t>
      </w:r>
    </w:p>
    <w:p>
      <w:r>
        <w:t>Atención a la fecha. Con el WFO activado, OnTester compara el final real de la prueba con input_end_date y devuelve cero si la prueba terminó antes (tolerancia de 80 horas). Una fecha equivocada pone a cero todas las pasadas y toda la optimización parece rota. Ajuste input_end_date a la misma fecha final configurada en el Probador de Estrategias.</w:t>
      </w:r>
    </w:p>
    <w:p>
      <w:pPr>
        <w:pStyle w:val="Heading2"/>
      </w:pPr>
      <w:r>
        <w:rPr>
          <w:color w:val="1E3A5F"/>
        </w:rPr>
        <w:t>Alcance y fuentes de verdad</w:t>
      </w:r>
    </w:p>
    <w:p>
      <w:r>
        <w:t>La fuente define inputs, valores y funciones; el manifiesto define cada set, estado, ruta y SHA-256. El archivo Quantum antiguo es solo histórico.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 generado; los identificadores coinciden exactamente con la EA.</w:t>
      </w:r>
    </w:p>
    <w:p>
      <w:pPr>
        <w:pStyle w:val="Heading2"/>
      </w:pPr>
      <w:r>
        <w:rPr>
          <w:color w:val="1E3A5F"/>
        </w:rPr>
        <w:t>Método walk-forward</w:t>
      </w:r>
    </w:p>
    <w:p>
      <w:r>
        <w:t>Use IS, OOS y forward demo cronológicos con spread, comisión, swap y slippage realistas.</w:t>
      </w:r>
    </w:p>
    <w:p>
      <w:pPr>
        <w:pStyle w:val="Heading2"/>
      </w:pPr>
      <w:r>
        <w:rPr>
          <w:color w:val="1E3A5F"/>
        </w:rPr>
        <w:t>Flujo seguro</w:t>
      </w:r>
    </w:p>
    <w:p>
      <w:r>
        <w:t>Cambie una sola matriz por etapa y conserve la evidencia.</w:t>
      </w:r>
    </w:p>
    <w:p>
      <w:pPr>
        <w:pStyle w:val="ListBullet"/>
      </w:pPr>
      <w:r>
        <w:t>Confirme que EX5, fuente, esquema y manifiesto son de la misma versión.</w:t>
      </w:r>
    </w:p>
    <w:p>
      <w:pPr>
        <w:pStyle w:val="ListBullet"/>
      </w:pPr>
      <w:r>
        <w:t>Cargue la biblioteca mediante Strategy Tester Inputs.</w:t>
      </w:r>
    </w:p>
    <w:p>
      <w:pPr>
        <w:pStyle w:val="ListBullet"/>
      </w:pPr>
      <w:r>
        <w:t>Mapee el símbolo y suffix exactos del bróker.</w:t>
      </w:r>
    </w:p>
    <w:p>
      <w:pPr>
        <w:pStyle w:val="ListBullet"/>
      </w:pPr>
      <w:r>
        <w:t>Empiece por baseline 01–05 y separe BUY/SELL.</w:t>
      </w:r>
    </w:p>
    <w:p>
      <w:pPr>
        <w:pStyle w:val="ListBullet"/>
      </w:pPr>
      <w:r>
        <w:t>Use 06 para una sola variable.</w:t>
      </w:r>
    </w:p>
    <w:p>
      <w:pPr>
        <w:pStyle w:val="ListBullet"/>
      </w:pPr>
      <w:r>
        <w:t>Use 07 entrada, 08 filtros, 09 riesgo y 10 salidas.</w:t>
      </w:r>
    </w:p>
    <w:p>
      <w:pPr>
        <w:pStyle w:val="ListBullet"/>
      </w:pPr>
      <w:r>
        <w:t>Ejecute IS, OOS y forward demo cronológicos.</w:t>
      </w:r>
    </w:p>
    <w:p>
      <w:pPr>
        <w:pStyle w:val="ListBullet"/>
      </w:pPr>
      <w:r>
        <w:t>Compruebe Status, RelativePath y SHA256.</w:t>
      </w:r>
    </w:p>
    <w:p>
      <w:pPr>
        <w:pStyle w:val="ListBullet"/>
      </w:pPr>
      <w:r>
        <w:t>Solo USE explícito autoriza el entorno definido.</w:t>
      </w:r>
    </w:p>
    <w:p>
      <w:pPr>
        <w:pStyle w:val="Heading2"/>
      </w:pPr>
      <w:r>
        <w:rPr>
          <w:color w:val="1E3A5F"/>
        </w:rPr>
        <w:t>Estados y decisión</w:t>
      </w:r>
    </w:p>
    <w:p>
      <w:r>
        <w:t>Se conserva el estado exacto y se mapea de forma conservadora a USE, REOPTIMIZE, RESEARCH o HOLD.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Gestión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Aviso de riesgo</w:t>
      </w:r>
    </w:p>
    <w:p>
      <w:r>
        <w:t>Ninguna EA, set ni resultado histórico garantiza el futuro. Valide OOS y en demo.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