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Manuel complet</w:t>
      </w:r>
    </w:p>
    <w:p>
      <w:r>
        <w:t>Référence faisant autorité, générée depuis la source EA et le manifeste actuels — EA 1.11 — 127 inputs — 3738 sets</w:t>
      </w:r>
    </w:p>
    <w:p>
      <w:pPr>
        <w:pStyle w:val="Heading2"/>
      </w:pPr>
      <w:r>
        <w:rPr>
          <w:color w:val="1E3A5F"/>
        </w:rPr>
        <w:t>Périmètre et sources de vérité</w:t>
      </w:r>
    </w:p>
    <w:p>
      <w:r>
        <w:t>La source définit inputs, valeurs et fonctions ; le manifeste définit chaque set, statut, chemin et SHA-256. L'archive Quantum est uniquement historique.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Document généré ; les identifiants correspondent exactement à l'EA.</w:t>
      </w:r>
    </w:p>
    <w:p>
      <w:pPr>
        <w:pStyle w:val="Heading2"/>
      </w:pPr>
      <w:r>
        <w:rPr>
          <w:color w:val="1E3A5F"/>
        </w:rPr>
        <w:t>Installation et premier test</w:t>
      </w:r>
    </w:p>
    <w:p>
      <w:r>
        <w:t>Installez l'EX5 correspondant, chargez un set dans Tester Inputs, choisissez le symbole exact et vérifiez le Journal.</w:t>
      </w:r>
    </w:p>
    <w:p>
      <w:pPr>
        <w:pStyle w:val="Heading2"/>
      </w:pPr>
      <w:r>
        <w:rPr>
          <w:color w:val="1E3A5F"/>
        </w:rPr>
        <w:t>Signaux et entrées</w:t>
      </w:r>
    </w:p>
    <w:p>
      <w:r>
        <w:t>Six moteurs partagent retournement, croisement signal/référence et base/référence. And exige la même bougie clôturée ; All accepte tout événement.</w:t>
      </w:r>
    </w:p>
    <w:p>
      <w:pPr>
        <w:pStyle w:val="ListBullet"/>
      </w:pPr>
      <w:r>
        <w:t>Douze moteurs natifs : MACD, EMA Cross, Momentum, Stochastic, TRIX, RSI, CCI, Williams %R, DeMarker, MFI, OsMA et Ichimoku.</w:t>
      </w:r>
    </w:p>
    <w:p>
      <w:pPr>
        <w:pStyle w:val="ListBullet"/>
      </w:pPr>
      <w:r>
        <w:t>Sept méthodes avec logique AND/OR explicite sur bougie clôturée.</w:t>
      </w:r>
    </w:p>
    <w:p>
      <w:pPr>
        <w:pStyle w:val="ListBullet"/>
      </w:pPr>
      <w:r>
        <w:t>Filtres MTF, MA, ADX, ATR et news indépendants.</w:t>
      </w:r>
    </w:p>
    <w:p>
      <w:pPr>
        <w:pStyle w:val="ListBullet"/>
      </w:pPr>
      <w:r>
        <w:t>Quatre PositionSizeMode et protections equity/margin.</w:t>
      </w:r>
    </w:p>
    <w:p>
      <w:pPr>
        <w:pStyle w:val="ListBullet"/>
      </w:pPr>
      <w:r>
        <w:t>Stop, take, breakeven, trailing et reversal composent la sortie.</w:t>
      </w:r>
    </w:p>
    <w:p>
      <w:pPr>
        <w:pStyle w:val="ListBullet"/>
      </w:pPr>
      <w:r>
        <w:t>Dashboard, horaire, langues et WFO intégrés.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Filtres</w:t>
      </w:r>
    </w:p>
    <w:p>
      <w:r>
        <w:t>MTF est un alignement MACD supérieur ; MA, ADX, volatilité ATR et news sont indépendants.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Exécution et gestion</w:t>
      </w:r>
    </w:p>
    <w:p>
      <w:r>
        <w:t>Spread, marge, pas de volume, tick size et limites stops/freeze influencent l'ordre. Vérifiez le Journal.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Pile de sorties</w:t>
      </w:r>
    </w:p>
    <w:p>
      <w:r>
        <w:t>Stop, take ATR, breakeven, trailing ATR et reversal exit sont séparés. ReversalExitUseEntryFilters contrôle les filtres de sortie.</w:t>
      </w:r>
    </w:p>
    <w:p>
      <w:pPr>
        <w:pStyle w:val="Heading2"/>
      </w:pPr>
      <w:r>
        <w:rPr>
          <w:color w:val="1E3A5F"/>
        </w:rPr>
        <w:t>Risque et récupération</w:t>
      </w:r>
    </w:p>
    <w:p>
      <w:r>
        <w:t>Choisissez un PositionSizeMode. Percentage/Fixed-R exigent stop. Grid, Martingale et D'Alembert sont des modes de recherche.</w:t>
      </w:r>
    </w:p>
    <w:p>
      <w:pPr>
        <w:pStyle w:val="Heading2"/>
      </w:pPr>
      <w:r>
        <w:rPr>
          <w:color w:val="1E3A5F"/>
        </w:rPr>
        <w:t>Horaire, interface et WFO</w:t>
      </w:r>
    </w:p>
    <w:p>
      <w:r>
        <w:t>Heure serveur du courtier, intervalle nocturne et Saturday/Sunday sont gérés. WFO définit IS/OOS.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Télémétrie des cycles du tableau</w:t>
      </w:r>
    </w:p>
    <w:p>
      <w:r>
        <w:t>Le panneau utilise les mêmes snapshots que le calcul des lots et la clôture des paniers.</w:t>
      </w:r>
    </w:p>
    <w:p>
      <w:pPr>
        <w:pStyle w:val="ListBullet"/>
      </w:pPr>
      <w:r>
        <w:t>Le rafraîchissement périodique par tick est limité à une fois par seconde ; initialisation et événements de trading peuvent rafraîchir immédiatement.</w:t>
      </w:r>
    </w:p>
    <w:p>
      <w:pPr>
        <w:pStyle w:val="ListBullet"/>
      </w:pPr>
      <w:r>
        <w:t>Balance et Equity couvrent tout le compte. Closed P&amp;L est la variation depuis OnInit ; Open P&amp;L et positions sont actuels et filtrés par Symbol + Magic.</w:t>
      </w:r>
    </w:p>
    <w:p>
      <w:pPr>
        <w:pStyle w:val="ListBullet"/>
      </w:pPr>
      <w:r>
        <w:t>Martingale affiche par BUY/SELL pertes consécutives, nombre et montant brut des pertes, recovered, deficit et target = deficit × Multiplicador.</w:t>
      </w:r>
    </w:p>
    <w:p>
      <w:pPr>
        <w:pStyle w:val="ListBullet"/>
      </w:pPr>
      <w:r>
        <w:t>Dépasser MaxMartingaleSteps produit un hard reset : ancien déficit supprimé et prochain ordre au lot de base. Une position ouverte maximum par côté.</w:t>
      </w:r>
    </w:p>
    <w:p>
      <w:pPr>
        <w:pStyle w:val="ListBullet"/>
      </w:pPr>
      <w:r>
        <w:t>D'Alembert affiche le niveau actuel et le prochain lot normalisé BUY/SELL.</w:t>
      </w:r>
    </w:p>
    <w:p>
      <w:pPr>
        <w:pStyle w:val="ListBullet"/>
      </w:pPr>
      <w:r>
        <w:t>Grid affiche legs/volume, realized coûts compris, open P&amp;L, cycle P&amp;L, target figée au départ et remaining.</w:t>
      </w:r>
    </w:p>
    <w:p>
      <w:pPr>
        <w:pStyle w:val="ListBullet"/>
      </w:pPr>
      <w:r>
        <w:t>Anchor est la position confirmée la plus récente. BUY exige strictement moins que anchor − ATR × DistanciaMinima, SELL strictement plus ; la progression est en ATR.</w:t>
      </w:r>
    </w:p>
    <w:p>
      <w:pPr>
        <w:pStyle w:val="ListBullet"/>
      </w:pPr>
      <w:r>
        <w:t>Separate termine seulement le cycle du côté devenu flat ; Unified se termine quand les deux côtés sont flat. Les ordres en cours retardent le reset.</w:t>
      </w:r>
    </w:p>
    <w:p>
      <w:pPr>
        <w:pStyle w:val="ListBullet"/>
      </w:pPr>
      <w:r>
        <w:t>Target déclenche la demande de clôture ; commission, frais et slippage de sortie peuvent laisser le résultat final légèrement inférieur.</w:t>
      </w:r>
    </w:p>
    <w:p>
      <w:pPr>
        <w:pStyle w:val="ListBullet"/>
      </w:pPr>
      <w:r>
        <w:t>InterfaceLanguage conserve 11 langues. Auto utilise English dans Tester et la langue du terminal en live ; un label non traduit revient à English.</w:t>
      </w:r>
    </w:p>
    <w:p>
      <w:pPr>
        <w:pStyle w:val="Heading2"/>
      </w:pPr>
      <w:r>
        <w:rPr>
          <w:color w:val="1E3A5F"/>
        </w:rPr>
        <w:t>Compatibilité et restrictions</w:t>
      </w:r>
    </w:p>
    <w:p>
      <w:r>
        <w:t>Règles prudentes ; les limites plus strictes du courtier prévalent.</w:t>
      </w:r>
    </w:p>
    <w:p>
      <w:pPr>
        <w:pStyle w:val="ListBullet"/>
      </w:pPr>
      <w:r>
        <w:t>Percentage et Fixed-R exigent AtivarStop=true.</w:t>
      </w:r>
    </w:p>
    <w:p>
      <w:pPr>
        <w:pStyle w:val="ListBullet"/>
      </w:pPr>
      <w:r>
        <w:t>Grid : Monetary/Fixed Lot, Recovery_None et compte hedging uniquement.</w:t>
      </w:r>
    </w:p>
    <w:p>
      <w:pPr>
        <w:pStyle w:val="ListBullet"/>
      </w:pPr>
      <w:r>
        <w:t>Grid exige take, DistanciaMinima positif et limite d'au moins deux.</w:t>
      </w:r>
    </w:p>
    <w:p>
      <w:pPr>
        <w:pStyle w:val="ListBullet"/>
      </w:pPr>
      <w:r>
        <w:t>Tant que le panier reste ouvert, ses pertes réalisées, swap, commission et frais restent inclus dans le résultat requis pour atteindre la cible ; le gain isolé d'une jambe ne les efface pas.</w:t>
      </w:r>
    </w:p>
    <w:p>
      <w:pPr>
        <w:pStyle w:val="ListBullet"/>
      </w:pPr>
      <w:r>
        <w:t>En Grid_SeparateProfit, les cycles BUY et SELL sont indépendants. Si toutes les positions d'un côté disparaissent, son cycle se termine ; une entrée ultérieure repart sans reporter le déficit clôturé.</w:t>
      </w:r>
    </w:p>
    <w:p>
      <w:pPr>
        <w:pStyle w:val="ListBullet"/>
      </w:pPr>
      <w:r>
        <w:t>D'Alembert : Fixed Lot, Grid_Disabled et DAlembertStep&gt;0.</w:t>
      </w:r>
    </w:p>
    <w:p>
      <w:pPr>
        <w:pStyle w:val="ListBullet"/>
      </w:pPr>
      <w:r>
        <w:t>Martingale respecte MaxMartingaleSteps et MaxMartingaleLot.</w:t>
      </w:r>
    </w:p>
    <w:p>
      <w:pPr>
        <w:pStyle w:val="ListBullet"/>
      </w:pPr>
      <w:r>
        <w:t>OnOppositeOrder exige hedging, deux côtés et grid désactivé.</w:t>
      </w:r>
    </w:p>
    <w:p>
      <w:pPr>
        <w:pStyle w:val="ListBullet"/>
      </w:pPr>
      <w:r>
        <w:t>Le backtest news exige le CSV dans Common\Files.</w:t>
      </w:r>
    </w:p>
    <w:p>
      <w:pPr>
        <w:pStyle w:val="ListBullet"/>
      </w:pPr>
      <w:r>
        <w:t>L'horaire utilise l'heure serveur.</w:t>
      </w:r>
    </w:p>
    <w:p>
      <w:pPr>
        <w:pStyle w:val="ListBullet"/>
      </w:pPr>
      <w:r>
        <w:t>Validez suffixe et spécifications chez chaque courtier.</w:t>
      </w:r>
    </w:p>
    <w:p>
      <w:pPr>
        <w:pStyle w:val="Heading2"/>
      </w:pPr>
      <w:r>
        <w:rPr>
          <w:color w:val="1E3A5F"/>
        </w:rPr>
        <w:t>Bibliothèque de sets détectée</w:t>
      </w:r>
    </w:p>
    <w:p>
      <w:r>
        <w:t>Les nombres viennent des fichiers et du manifeste. Chaque set est une hypothèse.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Avertissement de risque</w:t>
      </w:r>
    </w:p>
    <w:p>
      <w:r>
        <w:t>Aucun EA, set ou historique ne garantit l'avenir. Validez OOS et en démo.</w:t>
      </w:r>
    </w:p>
    <w:p>
      <w:pPr>
        <w:pStyle w:val="Heading2"/>
      </w:pPr>
      <w:r>
        <w:rPr>
          <w:color w:val="1E3A5F"/>
        </w:rPr>
        <w:t>Référence complète des inputs</w:t>
      </w:r>
    </w:p>
    <w:p>
      <w:r>
        <w:t>Le tableau suit la source. Les chaînes séparatrices appartiennent au schéma .set.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