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Set Ekosistemi Kılavuzu</w:t>
      </w:r>
    </w:p>
    <w:p>
      <w:r>
        <w:t>Güncel EA kaynağı ve set manifestosundan üretilen yetkili referans — EA 1.11 — 127 inputs — 3738 sets</w:t>
      </w:r>
    </w:p>
    <w:p>
      <w:pPr>
        <w:pStyle w:val="Heading2"/>
      </w:pPr>
      <w:r>
        <w:rPr>
          <w:color w:val="1E3A5F"/>
        </w:rPr>
        <w:t>Kapsam ve doğruluk kaynakları</w:t>
      </w:r>
    </w:p>
    <w:p>
      <w:r>
        <w:t>EA kaynağı inputs, varsayılanlar ve özellikleri; manifesto her set, durum, yol ve SHA-256 değerini tanımlar. Eski Quantum arşivi yalnızca tarihseldir.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Üretilmiş belgedir; parametre adları EA ile tam olarak aynıdır.</w:t>
      </w:r>
    </w:p>
    <w:p>
      <w:pPr>
        <w:pStyle w:val="Heading2"/>
      </w:pPr>
      <w:r>
        <w:rPr>
          <w:color w:val="1E3A5F"/>
        </w:rPr>
        <w:t>Kurulum ve ilk test</w:t>
      </w:r>
    </w:p>
    <w:p>
      <w:r>
        <w:t>Eşleşen EX5'i kurun, Tester Inputs'ta set yükleyin, doğru sembolü seçin ve Journal'ı kontrol edin.</w:t>
      </w:r>
    </w:p>
    <w:p>
      <w:pPr>
        <w:pStyle w:val="Heading2"/>
      </w:pPr>
      <w:r>
        <w:rPr>
          <w:color w:val="1E3A5F"/>
        </w:rPr>
        <w:t>Bulunan set kütüphanesi</w:t>
      </w:r>
    </w:p>
    <w:p>
      <w:r>
        <w:t>Sayılar dosya ve manifestodan okunur. Her set bir araştırma hipotezidir.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Durumlar ve karar</w:t>
      </w:r>
    </w:p>
    <w:p>
      <w:r>
        <w:t>Asıl durum korunur ve USE, REOPTIMIZE, RESEARCH veya HOLD olarak temkinli eşlenir.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</w:t>
            </w:r>
          </w:p>
        </w:tc>
        <w:tc>
          <w:tcPr>
            <w:tcW w:type="dxa" w:w="2880"/>
          </w:tcPr>
          <w:p>
            <w:r>
              <w:t>Yönetim</w:t>
            </w:r>
          </w:p>
        </w:tc>
        <w:tc>
          <w:tcPr>
            <w:tcW w:type="dxa" w:w="2880"/>
          </w:tcPr>
          <w:p>
            <w:r>
              <w:t>Set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Güvenli akış</w:t>
      </w:r>
    </w:p>
    <w:p>
      <w:r>
        <w:t>Her aşamada tek matris değiştirin ve kanıtları saklayın.</w:t>
      </w:r>
    </w:p>
    <w:p>
      <w:pPr>
        <w:pStyle w:val="ListBullet"/>
      </w:pPr>
      <w:r>
        <w:t>EX5, kaynak, set şeması ve manifesto sürümünü eşleştirin.</w:t>
      </w:r>
    </w:p>
    <w:p>
      <w:pPr>
        <w:pStyle w:val="ListBullet"/>
      </w:pPr>
      <w:r>
        <w:t>Kütüphaneyi Strategy Tester Inputs ile yükleyin.</w:t>
      </w:r>
    </w:p>
    <w:p>
      <w:pPr>
        <w:pStyle w:val="ListBullet"/>
      </w:pPr>
      <w:r>
        <w:t>Broker'ın tam sembol ve suffix değerini eşleyin.</w:t>
      </w:r>
    </w:p>
    <w:p>
      <w:pPr>
        <w:pStyle w:val="ListBullet"/>
      </w:pPr>
      <w:r>
        <w:t>01–05 baseline ile başlayıp BUY/SELL'i ayırın.</w:t>
      </w:r>
    </w:p>
    <w:p>
      <w:pPr>
        <w:pStyle w:val="ListBullet"/>
      </w:pPr>
      <w:r>
        <w:t>06 tek eksenli araştırmadır.</w:t>
      </w:r>
    </w:p>
    <w:p>
      <w:pPr>
        <w:pStyle w:val="ListBullet"/>
      </w:pPr>
      <w:r>
        <w:t>07 giriş, 08 filtre, 09 risk, 10 çıkıştır.</w:t>
      </w:r>
    </w:p>
    <w:p>
      <w:pPr>
        <w:pStyle w:val="ListBullet"/>
      </w:pPr>
      <w:r>
        <w:t>IS, OOS ve forward demo'yu kronolojik uygulayın.</w:t>
      </w:r>
    </w:p>
    <w:p>
      <w:pPr>
        <w:pStyle w:val="ListBullet"/>
      </w:pPr>
      <w:r>
        <w:t>Status, RelativePath ve SHA256 kontrol edin.</w:t>
      </w:r>
    </w:p>
    <w:p>
      <w:pPr>
        <w:pStyle w:val="ListBullet"/>
      </w:pPr>
      <w:r>
        <w:t>Yalnızca açık USE tanımlı ortam için adaydır.</w:t>
      </w:r>
    </w:p>
    <w:p>
      <w:pPr>
        <w:pStyle w:val="Heading2"/>
      </w:pPr>
      <w:r>
        <w:rPr>
          <w:color w:val="1E3A5F"/>
        </w:rPr>
        <w:t>Döngü dashboard telemetrisi</w:t>
      </w:r>
    </w:p>
    <w:p>
      <w:r>
        <w:t>Panel lot hesabı ve sepet kapatmayla aynı durum snapshot'larını kullanır.</w:t>
      </w:r>
    </w:p>
    <w:p>
      <w:pPr>
        <w:pStyle w:val="ListBullet"/>
      </w:pPr>
      <w:r>
        <w:t>Periyodik tick yenilemesi saniyede birle sınırlıdır; başlatma ve trade olayları hemen yenileyebilir.</w:t>
      </w:r>
    </w:p>
    <w:p>
      <w:pPr>
        <w:pStyle w:val="ListBullet"/>
      </w:pPr>
      <w:r>
        <w:t>Balance ve Equity tüm hesaptır. Closed P&amp;L OnInit sonrası değişimdir; Open P&amp;L ve positions günceldir ve Symbol + Magic ile filtrelenir.</w:t>
      </w:r>
    </w:p>
    <w:p>
      <w:pPr>
        <w:pStyle w:val="ListBullet"/>
      </w:pPr>
      <w:r>
        <w:t>Martingale BUY/SELL için ardışık kayıp, döngü kayıp sayısı ve brüt tutar, recovered, deficit ve deficit × Multiplicador target gösterir.</w:t>
      </w:r>
    </w:p>
    <w:p>
      <w:pPr>
        <w:pStyle w:val="ListBullet"/>
      </w:pPr>
      <w:r>
        <w:t>MaxMartingaleSteps aşılırsa hard reset eski deficit'i siler ve sonraki emir base lot kullanır. Taraf başına en fazla bir açık pozisyon.</w:t>
      </w:r>
    </w:p>
    <w:p>
      <w:pPr>
        <w:pStyle w:val="ListBullet"/>
      </w:pPr>
      <w:r>
        <w:t>D'Alembert BUY/SELL güncel seviye ve normalize edilmiş sonraki lotu gösterir.</w:t>
      </w:r>
    </w:p>
    <w:p>
      <w:pPr>
        <w:pStyle w:val="ListBullet"/>
      </w:pPr>
      <w:r>
        <w:t>Grid legs/volume, maliyetler dahil realized, open P&amp;L, cycle P&amp;L, başlangıçta sabit target ve remaining gösterir.</w:t>
      </w:r>
    </w:p>
    <w:p>
      <w:pPr>
        <w:pStyle w:val="ListBullet"/>
      </w:pPr>
      <w:r>
        <w:t>Anchor en son onaylı pozisyondur. BUY kesin olarak anchor − ATR × DistanciaMinima altı, SELL kesin olarak üstü ister; ilerleme ATR cinsindendir.</w:t>
      </w:r>
    </w:p>
    <w:p>
      <w:pPr>
        <w:pStyle w:val="ListBullet"/>
      </w:pPr>
      <w:r>
        <w:t>Separate yalnız flat olan tarafın döngüsünü bitirir; Unified iki taraf da flat olunca biter. İşlemdeki emirler reset'i geciktirir.</w:t>
      </w:r>
    </w:p>
    <w:p>
      <w:pPr>
        <w:pStyle w:val="ListBullet"/>
      </w:pPr>
      <w:r>
        <w:t>Target kapanış isteğini tetikler; gerçek çıkış komisyonu, fee ve slippage sonucu hedefin biraz altında bırakabilir.</w:t>
      </w:r>
    </w:p>
    <w:p>
      <w:pPr>
        <w:pStyle w:val="ListBullet"/>
      </w:pPr>
      <w:r>
        <w:t>InterfaceLanguage 11 dili korur. Auto Tester'da English, live'da terminal dilini kullanır; çevrilmemiş label English'e döner.</w:t>
      </w:r>
    </w:p>
    <w:p>
      <w:pPr>
        <w:pStyle w:val="Heading2"/>
      </w:pPr>
      <w:r>
        <w:rPr>
          <w:color w:val="1E3A5F"/>
        </w:rPr>
        <w:t>Uyumluluk ve kısıtlar</w:t>
      </w:r>
    </w:p>
    <w:p>
      <w:r>
        <w:t>Temkinli kurallardır; daha sıkı broker limitleri önceliklidir.</w:t>
      </w:r>
    </w:p>
    <w:p>
      <w:pPr>
        <w:pStyle w:val="ListBullet"/>
      </w:pPr>
      <w:r>
        <w:t>Percentage ve Fixed-R için AtivarStop=true gerekir.</w:t>
      </w:r>
    </w:p>
    <w:p>
      <w:pPr>
        <w:pStyle w:val="ListBullet"/>
      </w:pPr>
      <w:r>
        <w:t>Grid yalnızca Monetary/Fixed Lot, Recovery_None ve hedging hesap destekler.</w:t>
      </w:r>
    </w:p>
    <w:p>
      <w:pPr>
        <w:pStyle w:val="ListBullet"/>
      </w:pPr>
      <w:r>
        <w:t>Grid için take, pozitif DistanciaMinima ve en az iki limit gerekir.</w:t>
      </w:r>
    </w:p>
    <w:p>
      <w:pPr>
        <w:pStyle w:val="ListBullet"/>
      </w:pPr>
      <w:r>
        <w:t>Sepet açık kaldığı sürece döngünün gerçekleşmiş zararları, swap, komisyon ve ücretleri hedefe ulaşmak için gereken sonuçta kalır; tek bir ayağın kârı bu maliyetleri silmez.</w:t>
      </w:r>
    </w:p>
    <w:p>
      <w:pPr>
        <w:pStyle w:val="ListBullet"/>
      </w:pPr>
      <w:r>
        <w:t>Grid_SeparateProfit modunda BUY ve SELL döngüleri bağımsızdır. Bir taraftaki tüm pozisyonlar kaybolursa o tarafın döngüsü biter; sonraki giriş kapanmış açığı taşımadan yeni döngü başlatır.</w:t>
      </w:r>
    </w:p>
    <w:p>
      <w:pPr>
        <w:pStyle w:val="ListBullet"/>
      </w:pPr>
      <w:r>
        <w:t>D'Alembert yalnızca Fixed Lot, Grid_Disabled ve DAlembertStep&gt;0.</w:t>
      </w:r>
    </w:p>
    <w:p>
      <w:pPr>
        <w:pStyle w:val="ListBullet"/>
      </w:pPr>
      <w:r>
        <w:t>Martingale MaxMartingaleSteps ve MaxMartingaleLot sınırlarına uyar.</w:t>
      </w:r>
    </w:p>
    <w:p>
      <w:pPr>
        <w:pStyle w:val="ListBullet"/>
      </w:pPr>
      <w:r>
        <w:t>OnOppositeOrder hedging, iki yön ve grid kapalı ister.</w:t>
      </w:r>
    </w:p>
    <w:p>
      <w:pPr>
        <w:pStyle w:val="ListBullet"/>
      </w:pPr>
      <w:r>
        <w:t>News backtest Common\Files içinde CSV ister.</w:t>
      </w:r>
    </w:p>
    <w:p>
      <w:pPr>
        <w:pStyle w:val="ListBullet"/>
      </w:pPr>
      <w:r>
        <w:t>Zamanlama broker sunucu saatini kullanır.</w:t>
      </w:r>
    </w:p>
    <w:p>
      <w:pPr>
        <w:pStyle w:val="ListBullet"/>
      </w:pPr>
      <w:r>
        <w:t>Her broker için suffix ve sembol özelliklerini doğrulayın.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