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Compatibilidade Técnica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Combinações suportadas e restrições</w:t>
      </w:r>
    </w:p>
    <w:p>
      <w:r>
        <w:t>Estas são regras operacionais conservadoras da arquitetura atual. O broker pode impor limites mais rígidos e um backtest positivo não corrige um modo de conta incompatível.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Motores de sinal e métodos de entrada</w:t>
      </w:r>
    </w:p>
    <w:p>
      <w:r>
        <w:t>O indicador escolhido fornece três eventos universais: reversão, cruzamento de sinal/referência e cruzamento de base/referência. Métodos com “And” exigem os eventos na mesma barra fechada; “All” aceita qualquer um dos três. Há no máximo um despacho por lado em cada barra de sinal selecionada.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Filtro de notícias e fluxo do CSV</w:t>
      </w:r>
    </w:p>
    <w:p>
      <w:r>
        <w:t>No mercado ao vivo, a EA consulta o Calendário Econômico do MT5 no horário do servidor e bloqueia novas entradas se a consulta falhar. O tester não acessa esse calendário: execute MQL5\Scripts\White Rabbit News Exporter em um gráfico de conta real/demo, cubra todo o período do teste e grave NewsCSVFile em Common\Files. O cabeçalho separado por ponto e vírgula é datetime;currency;importance;event_name; importância 2 é moderada e 3 é alta. Use o mesmo broker/fuso do servidor. Em símbolos com sufixo ou não-FX, informe ExportMoedas e NewsMoedasManual; as moedas manuais têm prioridade.</w:t>
      </w:r>
    </w:p>
    <w:p>
      <w:pPr>
        <w:pStyle w:val="Heading2"/>
      </w:pPr>
      <w:r>
        <w:rPr>
          <w:color w:val="1E3A5F"/>
        </w:rPr>
        <w:t>Ciclo do grid e espaçamento por ATR</w:t>
      </w:r>
    </w:p>
    <w:p>
      <w:r>
        <w:t>Cada perna adicional mede a distância a partir da posição confirmada mais recente do mesmo lado e exige ATR × DistanciaMinima. A ordem inicial não pode disparar outra recursivamente no mesmo cálculo; no ciclo seguinte ela já é a âncora. O grid não usa TPs individuais: Separate avalia ciclos BUY/SELL independentes contra alvos congelados e encerra um lado quando ele fica flat; Unified avalia a cesta BUY+SELL agregada e termina quando ambos ficam flat. Comissões, swap, taxas e pernas já estopadas continuam no resultado enquanto o ciclo correspondente permanece aberto. O alvo dispara a solicitação de fechamento; custos reais e slippage da saída podem deixar o resultado final ligeiramente abaixo dele. No mercado ao vivo, o estado é preservado ao reiniciar a EA. Grid exige conta hedge real e nova otimização após mudança de EA, contrato ou custos.</w:t>
      </w:r>
    </w:p>
    <w:p>
      <w:pPr>
        <w:pStyle w:val="Heading2"/>
      </w:pPr>
      <w:r>
        <w:rPr>
          <w:color w:val="1E3A5F"/>
        </w:rPr>
        <w:t>Status do manifesto e decisão de liberação</w:t>
      </w:r>
    </w:p>
    <w:p>
      <w:r>
        <w:t>O status exato do manifesto é preservado e também recebe uma decisão conservadora: USE, REOPTIMIZE, RESEARCH ou HOLD. Somente um USE explícito é tratado como pronto para o ambiente definido.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Gestao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em multiplos de ATR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take organico ancorado no ultimo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sem TP: deixa correr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atras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Breakeven obrigatorio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Fecha no sinal contrario do indicador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com alvo por lado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com alvo unico da cesta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Lote dobra apos perda, 1 posicao por lado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Lote cresce em passo aritmetico apos perda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Sem SL e sem TP: mede o sinal cru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Diagnóstico e utilitários fornecidos</w:t>
      </w:r>
    </w:p>
    <w:p>
      <w:r>
        <w:t>As abas Experts/Diário são a referência para inputs rejeitados, falhas de OrderCheck, indisponibilidade do calendário e tentativas de fechamento. Compile e execute MQL5\Scripts\WhiteRabbit Filters SelfTest; a última linha deve indicar zero falhas. Use White Rabbit News Exporter para criar o CSV e confirme período, moedas, delimitador e pasta Common\Files antes de um backtest com notícias.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