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 Optimization Guide</w:t>
      </w:r>
    </w:p>
    <w:p>
      <w:r>
        <w:t>Authoritative reference generated from the current EA source and set manifest — EA 1.11 — 127 inputs — 3738 sets</w:t>
      </w:r>
    </w:p>
    <w:p>
      <w:r>
        <w:t>Mind the date. With WFO enabled, OnTester compares the real end of the test against input_end_date and returns zero if the test ended earlier (80-hour tolerance). A wrong date zeroes every pass and the whole optimization looks broken. Set input_end_date to the same end date configured in the Strategy Tester.</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Walk-forward method</w:t>
      </w:r>
    </w:p>
    <w:p>
      <w:r>
        <w:t>Use chronological in-sample, out-of-sample and forward-demo segments. Keep spreads, commissions, swaps and slippage realistic. Reject unstable parameter islands and any result that depends on one trade, one market regime or a broker-specific artifact. With a Custom step, a positive wfo_customStepSizePercent is a percentage of the in-sample window; a negative value such as -61 means a fixed 61-day out-of-sample step.</w:t>
      </w:r>
    </w:p>
    <w:p>
      <w:pPr>
        <w:pStyle w:val="Heading2"/>
      </w:pPr>
      <w:r>
        <w:rPr>
          <w:color w:val="1E3A5F"/>
        </w:rPr>
        <w:t>Safe workflow</w:t>
      </w:r>
    </w:p>
    <w:p>
      <w:r>
        <w:t>Change one matrix at a time and retain complete evidence for each promotion decision.</w:t>
      </w:r>
    </w:p>
    <w:p>
      <w:pPr>
        <w:pStyle w:val="ListBullet"/>
      </w:pPr>
      <w:r>
        <w:t>Confirm that the EX5, audited source, set schema and manifest belong to the same release.</w:t>
      </w:r>
    </w:p>
    <w:p>
      <w:pPr>
        <w:pStyle w:val="ListBullet"/>
      </w:pPr>
      <w:r>
        <w:t>Copy the library to MQL5\Profiles\Tester or select it when loading Strategy Tester Inputs.</w:t>
      </w:r>
    </w:p>
    <w:p>
      <w:pPr>
        <w:pStyle w:val="ListBullet"/>
      </w:pPr>
      <w:r>
        <w:t>Map each asset to the broker's exact symbol, suffix, session, profit currency and contract size.</w:t>
      </w:r>
    </w:p>
    <w:p>
      <w:pPr>
        <w:pStyle w:val="ListBullet"/>
      </w:pPr>
      <w:r>
        <w:t>Start with folders 01–05: load the asset baseline and test BUY and SELL separately.</w:t>
      </w:r>
    </w:p>
    <w:p>
      <w:pPr>
        <w:pStyle w:val="ListBullet"/>
      </w:pPr>
      <w:r>
        <w:t>Use folder 06 for controlled one-axis research; do not mix changes before measuring their effect.</w:t>
      </w:r>
    </w:p>
    <w:p>
      <w:pPr>
        <w:pStyle w:val="ListBullet"/>
      </w:pPr>
      <w:r>
        <w:t>Use folder 07 to compare indicator, entry method and management archetype.</w:t>
      </w:r>
    </w:p>
    <w:p>
      <w:pPr>
        <w:pStyle w:val="ListBullet"/>
      </w:pPr>
      <w:r>
        <w:t>Use folder 08 for filter stacks and verify that the statistical sample remains adequate.</w:t>
      </w:r>
    </w:p>
    <w:p>
      <w:pPr>
        <w:pStyle w:val="ListBullet"/>
      </w:pPr>
      <w:r>
        <w:t>Use folder 09 to compare risk engines only in documented compatible combinations.</w:t>
      </w:r>
    </w:p>
    <w:p>
      <w:pPr>
        <w:pStyle w:val="ListBullet"/>
      </w:pPr>
      <w:r>
        <w:t>Use folder 10 to test exit stacks while keeping the entry system frozen.</w:t>
      </w:r>
    </w:p>
    <w:p>
      <w:pPr>
        <w:pStyle w:val="ListBullet"/>
      </w:pPr>
      <w:r>
        <w:t>Run chronological in-sample, out-of-sample and forward-demo phases with realistic costs.</w:t>
      </w:r>
    </w:p>
    <w:p>
      <w:pPr>
        <w:pStyle w:val="ListBullet"/>
      </w:pPr>
      <w:r>
        <w:t>For news tests, generate WhiteRabbit_News.csv for the full date range and every required currency.</w:t>
      </w:r>
    </w:p>
    <w:p>
      <w:pPr>
        <w:pStyle w:val="ListBullet"/>
      </w:pPr>
      <w:r>
        <w:t>Run WhiteRabbit Filters SelfTest and proceed only when its final line reports zero failures.</w:t>
      </w:r>
    </w:p>
    <w:p>
      <w:pPr>
        <w:pStyle w:val="ListBullet"/>
      </w:pPr>
      <w:r>
        <w:t>Check Status, RelativePath and SHA256 in the manifest before promoting a result.</w:t>
      </w:r>
    </w:p>
    <w:p>
      <w:pPr>
        <w:pStyle w:val="ListBullet"/>
      </w:pPr>
      <w:r>
        <w:t>USE is explicit authorization for a defined environment; REOPTIMIZE, RESEARCH and HOLD are not live presets.</w:t>
      </w:r>
    </w:p>
    <w:p>
      <w:pPr>
        <w:pStyle w:val="Heading2"/>
      </w:pPr>
      <w:r>
        <w:rPr>
          <w:color w:val="1E3A5F"/>
        </w:rPr>
        <w:t>Manifest statuses and release disposition</w:t>
      </w:r>
    </w:p>
    <w:p>
      <w:r>
        <w:t>The exact manifest status is preserved. For a conservative release decision it is also mapped to USE, REOPTIMIZE, RESEARCH or HOLD. Only an explicit USE status is treated as ready for the defined environment.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System</w:t>
            </w:r>
          </w:p>
        </w:tc>
        <w:tc>
          <w:tcPr>
            <w:tcW w:type="dxa" w:w="2880"/>
          </w:tcPr>
          <w:p>
            <w:r>
              <w:t>Management</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