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Tutorial del ecosistema de sets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Instalación y primera prueba</w:t>
      </w:r>
    </w:p>
    <w:p>
      <w:r>
        <w:t>Instale el EX5 correcto, cargue un set en Tester Inputs, elija el símbolo exacto y revise el Journal.</w:t>
      </w:r>
    </w:p>
    <w:p>
      <w:pPr>
        <w:pStyle w:val="Heading2"/>
      </w:pPr>
      <w:r>
        <w:rPr>
          <w:color w:val="1E3A5F"/>
        </w:rPr>
        <w:t>Biblioteca de sets detectada</w:t>
      </w:r>
    </w:p>
    <w:p>
      <w:r>
        <w:t>Las cantidades se leen de archivos y manifiesto. Cada set es una hipótesis, no una promesa.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Estados y decisión</w:t>
      </w:r>
    </w:p>
    <w:p>
      <w:r>
        <w:t>Se conserva el estado exacto y se mapea de forma conservadora a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Gestión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Flujo seguro</w:t>
      </w:r>
    </w:p>
    <w:p>
      <w:r>
        <w:t>Cambie una sola matriz por etapa y conserve la evidencia.</w:t>
      </w:r>
    </w:p>
    <w:p>
      <w:pPr>
        <w:pStyle w:val="ListBullet"/>
      </w:pPr>
      <w:r>
        <w:t>Confirme que EX5, fuente, esquema y manifiesto son de la misma versión.</w:t>
      </w:r>
    </w:p>
    <w:p>
      <w:pPr>
        <w:pStyle w:val="ListBullet"/>
      </w:pPr>
      <w:r>
        <w:t>Cargue la biblioteca mediante Strategy Tester Inputs.</w:t>
      </w:r>
    </w:p>
    <w:p>
      <w:pPr>
        <w:pStyle w:val="ListBullet"/>
      </w:pPr>
      <w:r>
        <w:t>Mapee el símbolo y suffix exactos del bróker.</w:t>
      </w:r>
    </w:p>
    <w:p>
      <w:pPr>
        <w:pStyle w:val="ListBullet"/>
      </w:pPr>
      <w:r>
        <w:t>Empiece por baseline 01–05 y separe BUY/SELL.</w:t>
      </w:r>
    </w:p>
    <w:p>
      <w:pPr>
        <w:pStyle w:val="ListBullet"/>
      </w:pPr>
      <w:r>
        <w:t>Use 06 para una sola variable.</w:t>
      </w:r>
    </w:p>
    <w:p>
      <w:pPr>
        <w:pStyle w:val="ListBullet"/>
      </w:pPr>
      <w:r>
        <w:t>Use 07 entrada, 08 filtros, 09 riesgo y 10 salidas.</w:t>
      </w:r>
    </w:p>
    <w:p>
      <w:pPr>
        <w:pStyle w:val="ListBullet"/>
      </w:pPr>
      <w:r>
        <w:t>Ejecute IS, OOS y forward demo cronológicos.</w:t>
      </w:r>
    </w:p>
    <w:p>
      <w:pPr>
        <w:pStyle w:val="ListBullet"/>
      </w:pPr>
      <w:r>
        <w:t>Compruebe Status, RelativePath y SHA256.</w:t>
      </w:r>
    </w:p>
    <w:p>
      <w:pPr>
        <w:pStyle w:val="ListBullet"/>
      </w:pPr>
      <w:r>
        <w:t>Solo USE explícito autoriza el entorno definido.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Compatibilidad y restricciones</w:t>
      </w:r>
    </w:p>
    <w:p>
      <w:r>
        <w:t>Son reglas conservadoras; el bróker puede imponer límites más estrictos.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