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전체 사용자 설명서</w:t>
      </w:r>
    </w:p>
    <w:p>
      <w:r>
        <w:t>현재 EA 소스와 set 매니페스트에서 생성한 공식 참조 — EA 1.11 — 127 inputs — 3738 sets</w:t>
      </w:r>
    </w:p>
    <w:p>
      <w:pPr>
        <w:pStyle w:val="Heading2"/>
      </w:pPr>
      <w:r>
        <w:rPr>
          <w:color w:val="1E3A5F"/>
        </w:rPr>
        <w:t>범위와 기준 데이터</w:t>
      </w:r>
    </w:p>
    <w:p>
      <w:r>
        <w:t>EA 소스가 inputs, 기본값, 기능을 정의하고 매니페스트가 각 set의 상태, 경로, SHA-256을 정의합니다. 구 Quantum 자료는 기록용입니다.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자동 생성 문서이며 파라미터 식별자는 EA와 정확히 같습니다.</w:t>
      </w:r>
    </w:p>
    <w:p>
      <w:pPr>
        <w:pStyle w:val="Heading2"/>
      </w:pPr>
      <w:r>
        <w:rPr>
          <w:color w:val="1E3A5F"/>
        </w:rPr>
        <w:t>설치와 첫 실행</w:t>
      </w:r>
    </w:p>
    <w:p>
      <w:r>
        <w:t>일치하는 EX5를 설치하고 Tester Inputs에서 set을 로드한 뒤 정확한 심볼과 Journal을 확인합니다.</w:t>
      </w:r>
    </w:p>
    <w:p>
      <w:pPr>
        <w:pStyle w:val="Heading2"/>
      </w:pPr>
      <w:r>
        <w:rPr>
          <w:color w:val="1E3A5F"/>
        </w:rPr>
        <w:t>신호와 진입 방식</w:t>
      </w:r>
    </w:p>
    <w:p>
      <w:r>
        <w:t>6개 엔진은 reversal, signal/reference cross, baseline/reference cross를 공유합니다. And는 같은 종가 확정 봉, All은 어느 하나입니다.</w:t>
      </w:r>
    </w:p>
    <w:p>
      <w:pPr>
        <w:pStyle w:val="ListBullet"/>
      </w:pPr>
      <w:r>
        <w:t>12개 네이티브 엔진: MACD, EMA Cross, Momentum, Stochastic, TRIX, RSI, CCI, Williams %R, DeMarker, MFI, OsMA, Ichimoku.</w:t>
      </w:r>
    </w:p>
    <w:p>
      <w:pPr>
        <w:pStyle w:val="ListBullet"/>
      </w:pPr>
      <w:r>
        <w:t>확정 봉의 AND/OR 의미가 명확한 7개 진입 방식.</w:t>
      </w:r>
    </w:p>
    <w:p>
      <w:pPr>
        <w:pStyle w:val="ListBullet"/>
      </w:pPr>
      <w:r>
        <w:t>독립적인 MTF, MA, ADX, ATR, news 필터.</w:t>
      </w:r>
    </w:p>
    <w:p>
      <w:pPr>
        <w:pStyle w:val="ListBullet"/>
      </w:pPr>
      <w:r>
        <w:t>4개 PositionSizeMode와 equity/margin 보호.</w:t>
      </w:r>
    </w:p>
    <w:p>
      <w:pPr>
        <w:pStyle w:val="ListBullet"/>
      </w:pPr>
      <w:r>
        <w:t>Stop, take, breakeven, trailing, reversal 청산.</w:t>
      </w:r>
    </w:p>
    <w:p>
      <w:pPr>
        <w:pStyle w:val="ListBullet"/>
      </w:pPr>
      <w:r>
        <w:t>Dashboard, 일정, 언어, WFO 통합.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필터</w:t>
      </w:r>
    </w:p>
    <w:p>
      <w:r>
        <w:t>MTF는 상위 시간대 MACD 정렬이고 MA, ADX, ATR volatility, news는 독립적입니다.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실행과 포지션 관리</w:t>
      </w:r>
    </w:p>
    <w:p>
      <w:r>
        <w:t>spread, margin, volume step, tick size, stops/freeze 제한이 실행에 영향을 줍니다. Journal에서 확인하십시오.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청산 스택</w:t>
      </w:r>
    </w:p>
    <w:p>
      <w:r>
        <w:t>Stop, ATR take, breakeven, ATR trailing, reversal exit는 독립적입니다. ReversalExitUseEntryFilters가 청산 필터를 제어합니다.</w:t>
      </w:r>
    </w:p>
    <w:p>
      <w:pPr>
        <w:pStyle w:val="Heading2"/>
      </w:pPr>
      <w:r>
        <w:rPr>
          <w:color w:val="1E3A5F"/>
        </w:rPr>
        <w:t>위험과 복구</w:t>
      </w:r>
    </w:p>
    <w:p>
      <w:r>
        <w:t>PositionSizeMode 하나만 선택합니다. Percentage/Fixed-R은 stop이 필요하며 Grid/Martingale/D'Alembert는 연구용입니다.</w:t>
      </w:r>
    </w:p>
    <w:p>
      <w:pPr>
        <w:pStyle w:val="Heading2"/>
      </w:pPr>
      <w:r>
        <w:rPr>
          <w:color w:val="1E3A5F"/>
        </w:rPr>
        <w:t>시간, 인터페이스, WFO</w:t>
      </w:r>
    </w:p>
    <w:p>
      <w:r>
        <w:t>브로커 서버 시간, 자정 통과, Saturday/Sunday 설정을 지원합니다. WFO는 IS/OOS를 정의합니다.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사이클 대시보드 텔레메트리</w:t>
      </w:r>
    </w:p>
    <w:p>
      <w:r>
        <w:t>패널은 랏 계산과 바스켓 청산에 쓰이는 동일한 상태 스냅샷을 사용합니다.</w:t>
      </w:r>
    </w:p>
    <w:p>
      <w:pPr>
        <w:pStyle w:val="ListBullet"/>
      </w:pPr>
      <w:r>
        <w:t>tick 주기 갱신은 초당 1회로 제한되며 초기화와 거래 이벤트는 즉시 갱신할 수 있습니다.</w:t>
      </w:r>
    </w:p>
    <w:p>
      <w:pPr>
        <w:pStyle w:val="ListBullet"/>
      </w:pPr>
      <w:r>
        <w:t>Balance/Equity는 전체 계정입니다. Closed P&amp;L은 OnInit 이후 변화이고 Open P&amp;L/positions는 Symbol + Magic으로 필터한 현재 상태입니다.</w:t>
      </w:r>
    </w:p>
    <w:p>
      <w:pPr>
        <w:pStyle w:val="ListBullet"/>
      </w:pPr>
      <w:r>
        <w:t>Martingale은 BUY/SELL별 연속 손실, 사이클 손실 횟수·총액, recovered, deficit, deficit × Multiplicador target을 표시합니다.</w:t>
      </w:r>
    </w:p>
    <w:p>
      <w:pPr>
        <w:pStyle w:val="ListBullet"/>
      </w:pPr>
      <w:r>
        <w:t>MaxMartingaleSteps 초과 시 hard reset으로 기존 deficit을 버리고 다음 주문은 base lot을 씁니다. 방향별 최대 1개 포지션만 허용됩니다.</w:t>
      </w:r>
    </w:p>
    <w:p>
      <w:pPr>
        <w:pStyle w:val="ListBullet"/>
      </w:pPr>
      <w:r>
        <w:t>D'Alembert는 BUY/SELL 현재 레벨과 정규화된 다음 랏을 표시합니다.</w:t>
      </w:r>
    </w:p>
    <w:p>
      <w:pPr>
        <w:pStyle w:val="ListBullet"/>
      </w:pPr>
      <w:r>
        <w:t>Grid는 legs/volume, 비용 포함 realized, open P&amp;L, cycle P&amp;L, 시작 시 고정 target, remaining을 표시합니다.</w:t>
      </w:r>
    </w:p>
    <w:p>
      <w:pPr>
        <w:pStyle w:val="ListBullet"/>
      </w:pPr>
      <w:r>
        <w:t>Anchor는 가장 최근 확정 포지션입니다. BUY는 anchor − ATR × DistanciaMinima 미만, SELL은 그 이상을 엄격히 요구하며 진행은 ATR로 표시됩니다.</w:t>
      </w:r>
    </w:p>
    <w:p>
      <w:pPr>
        <w:pStyle w:val="ListBullet"/>
      </w:pPr>
      <w:r>
        <w:t>Separate는 flat이 된 방향의 사이클만 끝내고 Unified는 양쪽 모두 flat일 때 끝납니다. 처리 중 주문은 reset을 지연합니다.</w:t>
      </w:r>
    </w:p>
    <w:p>
      <w:pPr>
        <w:pStyle w:val="ListBullet"/>
      </w:pPr>
      <w:r>
        <w:t>Target은 청산 요청을 시작할 뿐이며 실제 exit commission, fee, slippage로 최종 결과가 조금 낮을 수 있습니다.</w:t>
      </w:r>
    </w:p>
    <w:p>
      <w:pPr>
        <w:pStyle w:val="ListBullet"/>
      </w:pPr>
      <w:r>
        <w:t>InterfaceLanguage는 11개 언어를 유지합니다. Auto는 Tester에서 English, live에서 터미널 언어를 사용하며 미번역 label은 English로 대체됩니다.</w:t>
      </w:r>
    </w:p>
    <w:p>
      <w:pPr>
        <w:pStyle w:val="Heading2"/>
      </w:pPr>
      <w:r>
        <w:rPr>
          <w:color w:val="1E3A5F"/>
        </w:rPr>
        <w:t>호환성과 제한</w:t>
      </w:r>
    </w:p>
    <w:p>
      <w:r>
        <w:t>보수적인 규칙이며 브로커의 더 엄격한 제한이 우선합니다.</w:t>
      </w:r>
    </w:p>
    <w:p>
      <w:pPr>
        <w:pStyle w:val="ListBullet"/>
      </w:pPr>
      <w:r>
        <w:t>Percentage와 Fixed-R은 AtivarStop=true가 필요합니다.</w:t>
      </w:r>
    </w:p>
    <w:p>
      <w:pPr>
        <w:pStyle w:val="ListBullet"/>
      </w:pPr>
      <w:r>
        <w:t>Grid는 Monetary/Fixed Lot, Recovery_None, hedging account만 지원합니다.</w:t>
      </w:r>
    </w:p>
    <w:p>
      <w:pPr>
        <w:pStyle w:val="ListBullet"/>
      </w:pPr>
      <w:r>
        <w:t>Grid는 take, 양수 DistanciaMinima, 최소 2의 제한이 필요합니다.</w:t>
      </w:r>
    </w:p>
    <w:p>
      <w:pPr>
        <w:pStyle w:val="ListBullet"/>
      </w:pPr>
      <w:r>
        <w:t>바스켓이 열려 있는 동안 해당 사이클의 실현 손실, swap, commission, fees는 목표 달성에 필요한 결과에 계속 포함되며 한 레그의 이익만으로 사라지지 않습니다.</w:t>
      </w:r>
    </w:p>
    <w:p>
      <w:pPr>
        <w:pStyle w:val="ListBullet"/>
      </w:pPr>
      <w:r>
        <w:t>Grid_SeparateProfit에서 BUY와 SELL 사이클은 독립적입니다. 한 방향의 모든 포지션이 사라지면 그 방향 사이클은 종료되고 이후 진입은 종료된 적자를 이월하지 않는 새 사이클입니다.</w:t>
      </w:r>
    </w:p>
    <w:p>
      <w:pPr>
        <w:pStyle w:val="ListBullet"/>
      </w:pPr>
      <w:r>
        <w:t>D'Alembert는 Fixed Lot, Grid_Disabled, DAlembertStep&gt;0 전용입니다.</w:t>
      </w:r>
    </w:p>
    <w:p>
      <w:pPr>
        <w:pStyle w:val="ListBullet"/>
      </w:pPr>
      <w:r>
        <w:t>Martingale은 MaxMartingaleSteps/MaxMartingaleLot을 따릅니다.</w:t>
      </w:r>
    </w:p>
    <w:p>
      <w:pPr>
        <w:pStyle w:val="ListBullet"/>
      </w:pPr>
      <w:r>
        <w:t>OnOppositeOrder는 hedging, 양방향, grid 비활성이 필요합니다.</w:t>
      </w:r>
    </w:p>
    <w:p>
      <w:pPr>
        <w:pStyle w:val="ListBullet"/>
      </w:pPr>
      <w:r>
        <w:t>News backtest는 Common\Files CSV가 필요합니다.</w:t>
      </w:r>
    </w:p>
    <w:p>
      <w:pPr>
        <w:pStyle w:val="ListBullet"/>
      </w:pPr>
      <w:r>
        <w:t>일정은 브로커 서버 시간을 사용합니다.</w:t>
      </w:r>
    </w:p>
    <w:p>
      <w:pPr>
        <w:pStyle w:val="ListBullet"/>
      </w:pPr>
      <w:r>
        <w:t>브로커별 suffix와 심볼 사양을 확인합니다.</w:t>
      </w:r>
    </w:p>
    <w:p>
      <w:pPr>
        <w:pStyle w:val="Heading2"/>
      </w:pPr>
      <w:r>
        <w:rPr>
          <w:color w:val="1E3A5F"/>
        </w:rPr>
        <w:t>검색된 set 라이브러리</w:t>
      </w:r>
    </w:p>
    <w:p>
      <w:r>
        <w:t>개수는 파일과 매니페스트에서 읽습니다. 각 set은 연구 가설입니다.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위험 경고</w:t>
      </w:r>
    </w:p>
    <w:p>
      <w:r>
        <w:t>EA, set, 과거 결과는 미래 성과를 보장하지 않습니다. OOS와 demo로 검증하십시오.</w:t>
      </w:r>
    </w:p>
    <w:p>
      <w:pPr>
        <w:pStyle w:val="Heading2"/>
      </w:pPr>
      <w:r>
        <w:rPr>
          <w:color w:val="1E3A5F"/>
        </w:rPr>
        <w:t>전체 inputs 참조</w:t>
      </w:r>
    </w:p>
    <w:p>
      <w:r>
        <w:t>표는 소스 선언 순서이며 구분 문자열도 .set schema에 포함됩니다.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Section</w:t>
            </w:r>
          </w:p>
        </w:tc>
        <w:tc>
          <w:tcPr>
            <w:tcW w:type="dxa" w:w="960"/>
          </w:tcPr>
          <w:p>
            <w:r>
              <w:t>Subsection</w:t>
            </w:r>
          </w:p>
        </w:tc>
        <w:tc>
          <w:tcPr>
            <w:tcW w:type="dxa" w:w="960"/>
          </w:tcPr>
          <w:p>
            <w:r>
              <w:t>Parameter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Source description</w:t>
            </w:r>
          </w:p>
        </w:tc>
        <w:tc>
          <w:tcPr>
            <w:tcW w:type="dxa" w:w="960"/>
          </w:tcPr>
          <w:p>
            <w:r>
              <w:t>Enum options</w:t>
            </w:r>
          </w:p>
        </w:tc>
        <w:tc>
          <w:tcPr>
            <w:tcW w:type="dxa" w:w="960"/>
          </w:tcPr>
          <w:p>
            <w:r>
              <w:t>Operational notes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