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Manuel complet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Périmètre et sources de vérité</w:t>
      </w:r>
    </w:p>
    <w:p>
      <w:r>
        <w:t>La source définit inputs, valeurs et fonctions ; le manifeste définit chaque set, statut, chemin et SHA-256. L'archive Quantum est uniquement historique.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Document généré ; les identifiants correspondent exactement à l'EA.</w:t>
      </w:r>
    </w:p>
    <w:p>
      <w:pPr>
        <w:pStyle w:val="Heading2"/>
      </w:pPr>
      <w:r>
        <w:rPr>
          <w:color w:val="1E3A5F"/>
        </w:rPr>
        <w:t>Installation et premier test</w:t>
      </w:r>
    </w:p>
    <w:p>
      <w:r>
        <w:t>Installez l'EX5 correspondant, chargez un set dans Tester Inputs, choisissez le symbole exact et vérifiez le Journal.</w:t>
      </w:r>
    </w:p>
    <w:p>
      <w:pPr>
        <w:pStyle w:val="Heading2"/>
      </w:pPr>
      <w:r>
        <w:rPr>
          <w:color w:val="1E3A5F"/>
        </w:rPr>
        <w:t>Signaux et entrées</w:t>
      </w:r>
    </w:p>
    <w:p>
      <w:r>
        <w:t>Six moteurs partagent retournement, croisement signal/référence et base/référence. And exige la même bougie clôturée ; All accepte tout événement.</w:t>
      </w:r>
    </w:p>
    <w:p>
      <w:pPr>
        <w:pStyle w:val="ListBullet"/>
      </w:pPr>
      <w:r>
        <w:t>Douze moteurs natifs : MACD, EMA Cross, Momentum, Stochastic, TRIX, RSI, CCI, Williams %R, DeMarker, MFI, OsMA et Ichimoku.</w:t>
      </w:r>
    </w:p>
    <w:p>
      <w:pPr>
        <w:pStyle w:val="ListBullet"/>
      </w:pPr>
      <w:r>
        <w:t>Sept méthodes avec logique AND/OR explicite sur bougie clôturée.</w:t>
      </w:r>
    </w:p>
    <w:p>
      <w:pPr>
        <w:pStyle w:val="ListBullet"/>
      </w:pPr>
      <w:r>
        <w:t>Filtres MTF, MA, ADX, ATR et news indépendants.</w:t>
      </w:r>
    </w:p>
    <w:p>
      <w:pPr>
        <w:pStyle w:val="ListBullet"/>
      </w:pPr>
      <w:r>
        <w:t>Quatre PositionSizeMode et protections equity/margin.</w:t>
      </w:r>
    </w:p>
    <w:p>
      <w:pPr>
        <w:pStyle w:val="ListBullet"/>
      </w:pPr>
      <w:r>
        <w:t>Stop, take, breakeven, trailing et reversal composent la sortie.</w:t>
      </w:r>
    </w:p>
    <w:p>
      <w:pPr>
        <w:pStyle w:val="ListBullet"/>
      </w:pPr>
      <w:r>
        <w:t>Dashboard, horaire, langues et WFO intégrés.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Filtres</w:t>
      </w:r>
    </w:p>
    <w:p>
      <w:r>
        <w:t>MTF est un alignement MACD supérieur ; MA, ADX, volatilité ATR et news sont indépendants.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Exécution et gestion</w:t>
      </w:r>
    </w:p>
    <w:p>
      <w:r>
        <w:t>Spread, marge, pas de volume, tick size et limites stops/freeze influencent l'ordre. Vérifiez le Journal.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Pile de sorties</w:t>
      </w:r>
    </w:p>
    <w:p>
      <w:r>
        <w:t>Stop, take ATR, breakeven, trailing ATR et reversal exit sont séparés. ReversalExitUseEntryFilters contrôle les filtres de sortie.</w:t>
      </w:r>
    </w:p>
    <w:p>
      <w:pPr>
        <w:pStyle w:val="Heading2"/>
      </w:pPr>
      <w:r>
        <w:rPr>
          <w:color w:val="1E3A5F"/>
        </w:rPr>
        <w:t>Risque et récupération</w:t>
      </w:r>
    </w:p>
    <w:p>
      <w:r>
        <w:t>Choisissez un PositionSizeMode. Percentage/Fixed-R exigent stop. Grid, Martingale et D'Alembert sont des modes de recherche.</w:t>
      </w:r>
    </w:p>
    <w:p>
      <w:pPr>
        <w:pStyle w:val="Heading2"/>
      </w:pPr>
      <w:r>
        <w:rPr>
          <w:color w:val="1E3A5F"/>
        </w:rPr>
        <w:t>Horaire, interface et WFO</w:t>
      </w:r>
    </w:p>
    <w:p>
      <w:r>
        <w:t>Heure serveur du courtier, intervalle nocturne et Saturday/Sunday sont gérés. WFO définit IS/OOS.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Compatibilité et restrictions</w:t>
      </w:r>
    </w:p>
    <w:p>
      <w:r>
        <w:t>Règles prudentes ; les limites plus strictes du courtier prévalent.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Bibliothèque de sets détectée</w:t>
      </w:r>
    </w:p>
    <w:p>
      <w:r>
        <w:t>Les nombres viennent des fichiers et du manifeste. Chaque set est une hypothèse.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pStyle w:val="Heading2"/>
      </w:pPr>
      <w:r>
        <w:rPr>
          <w:color w:val="1E3A5F"/>
        </w:rPr>
        <w:t>Référence complète des inputs</w:t>
      </w:r>
    </w:p>
    <w:p>
      <w:r>
        <w:t>Le tableau suit la source. Les chaînes séparatrices appartiennent au schéma .set.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