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Guide de l'écosystème de sets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Périmètre et sources de vérité</w:t>
      </w:r>
    </w:p>
    <w:p>
      <w:r>
        <w:t>La source définit inputs, valeurs et fonctions ; le manifeste définit chaque set, statut, chemin et SHA-256. L'archive Quantum est uniquement historique.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Document généré ; les identifiants correspondent exactement à l'EA.</w:t>
      </w:r>
    </w:p>
    <w:p>
      <w:pPr>
        <w:pStyle w:val="Heading2"/>
      </w:pPr>
      <w:r>
        <w:rPr>
          <w:color w:val="1E3A5F"/>
        </w:rPr>
        <w:t>Installation et premier test</w:t>
      </w:r>
    </w:p>
    <w:p>
      <w:r>
        <w:t>Installez l'EX5 correspondant, chargez un set dans Tester Inputs, choisissez le symbole exact et vérifiez le Journal.</w:t>
      </w:r>
    </w:p>
    <w:p>
      <w:pPr>
        <w:pStyle w:val="Heading2"/>
      </w:pPr>
      <w:r>
        <w:rPr>
          <w:color w:val="1E3A5F"/>
        </w:rPr>
        <w:t>Bibliothèque de sets détectée</w:t>
      </w:r>
    </w:p>
    <w:p>
      <w:r>
        <w:t>Les nombres viennent des fichiers et du manifeste. Chaque set est une hypothèse.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Statuts et décision</w:t>
      </w:r>
    </w:p>
    <w:p>
      <w:r>
        <w:t>Le statut exact est conservé et mappé prudemment vers USE, REOPTIMIZE, RESEARCH ou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Système</w:t>
            </w:r>
          </w:p>
        </w:tc>
        <w:tc>
          <w:tcPr>
            <w:tcW w:type="dxa" w:w="2880"/>
          </w:tcPr>
          <w:p>
            <w:r>
              <w:t>Gestion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Flux sûr</w:t>
      </w:r>
    </w:p>
    <w:p>
      <w:r>
        <w:t>Modifiez une matrice par étape et conservez les preuves.</w:t>
      </w:r>
    </w:p>
    <w:p>
      <w:pPr>
        <w:pStyle w:val="ListBullet"/>
      </w:pPr>
      <w:r>
        <w:t>Alignez les versions EX5, source, schéma set et manifeste.</w:t>
      </w:r>
    </w:p>
    <w:p>
      <w:pPr>
        <w:pStyle w:val="ListBullet"/>
      </w:pPr>
      <w:r>
        <w:t>Chargez la bibliothèque par Strategy Tester Inputs.</w:t>
      </w:r>
    </w:p>
    <w:p>
      <w:pPr>
        <w:pStyle w:val="ListBullet"/>
      </w:pPr>
      <w:r>
        <w:t>Mappez le symbole et le suffixe exacts.</w:t>
      </w:r>
    </w:p>
    <w:p>
      <w:pPr>
        <w:pStyle w:val="ListBullet"/>
      </w:pPr>
      <w:r>
        <w:t>Commencez par les baselines 01–05, BUY/SELL séparés.</w:t>
      </w:r>
    </w:p>
    <w:p>
      <w:pPr>
        <w:pStyle w:val="ListBullet"/>
      </w:pPr>
      <w:r>
        <w:t>06 sert à la recherche mono-axe.</w:t>
      </w:r>
    </w:p>
    <w:p>
      <w:pPr>
        <w:pStyle w:val="ListBullet"/>
      </w:pPr>
      <w:r>
        <w:t>07 entrée, 08 filtres, 09 risque, 10 sorties.</w:t>
      </w:r>
    </w:p>
    <w:p>
      <w:pPr>
        <w:pStyle w:val="ListBullet"/>
      </w:pPr>
      <w:r>
        <w:t>Exécutez IS, OOS et forward démo chronologiques.</w:t>
      </w:r>
    </w:p>
    <w:p>
      <w:pPr>
        <w:pStyle w:val="ListBullet"/>
      </w:pPr>
      <w:r>
        <w:t>Contrôlez Status, RelativePath et SHA256.</w:t>
      </w:r>
    </w:p>
    <w:p>
      <w:pPr>
        <w:pStyle w:val="ListBullet"/>
      </w:pPr>
      <w:r>
        <w:t>Seul USE explicite autorise l'environnement défini.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Compatibilité et restrictions</w:t>
      </w:r>
    </w:p>
    <w:p>
      <w:r>
        <w:t>Règles prudentes ; les limites plus strictes du courtier prévalent.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