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Manuale completo</w:t>
      </w:r>
    </w:p>
    <w:p>
      <w:r>
        <w:t>Riferimento autorevole generato dalla fonte EA e dal manifesto correnti — EA 1.11 — 127 inputs — 3738 sets</w:t>
      </w:r>
    </w:p>
    <w:p>
      <w:pPr>
        <w:pStyle w:val="Heading2"/>
      </w:pPr>
      <w:r>
        <w:rPr>
          <w:color w:val="1E3A5F"/>
        </w:rPr>
        <w:t>Ambito e fonti di verità</w:t>
      </w:r>
    </w:p>
    <w:p>
      <w:r>
        <w:t>La fonte definisce inputs, valori e funzioni; il manifesto definisce ogni set, stato, percorso e SHA-256. L'archivio Quantum è solo storico.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Materiale generato; gli identificatori corrispondono esattamente all'EA.</w:t>
      </w:r>
    </w:p>
    <w:p>
      <w:pPr>
        <w:pStyle w:val="Heading2"/>
      </w:pPr>
      <w:r>
        <w:rPr>
          <w:color w:val="1E3A5F"/>
        </w:rPr>
        <w:t>Installazione e primo test</w:t>
      </w:r>
    </w:p>
    <w:p>
      <w:r>
        <w:t>Installare l'EX5 corretto, caricare un set in Tester Inputs, scegliere il simbolo esatto e controllare il Journal.</w:t>
      </w:r>
    </w:p>
    <w:p>
      <w:pPr>
        <w:pStyle w:val="Heading2"/>
      </w:pPr>
      <w:r>
        <w:rPr>
          <w:color w:val="1E3A5F"/>
        </w:rPr>
        <w:t>Segnali e ingressi</w:t>
      </w:r>
    </w:p>
    <w:p>
      <w:r>
        <w:t>Sei motori condividono reversal, signal/reference cross e baseline/reference cross. And richiede la stessa candela chiusa; All accetta qualsiasi evento.</w:t>
      </w:r>
    </w:p>
    <w:p>
      <w:pPr>
        <w:pStyle w:val="ListBullet"/>
      </w:pPr>
      <w:r>
        <w:t>Dodici motori nativi: MACD, EMA Cross, Momentum, Stochastic, TRIX, RSI, CCI, Williams %R, DeMarker, MFI, OsMA e Ichimoku.</w:t>
      </w:r>
    </w:p>
    <w:p>
      <w:pPr>
        <w:pStyle w:val="ListBullet"/>
      </w:pPr>
      <w:r>
        <w:t>Sette metodi con semantica AND/OR esplicita sulla candela chiusa.</w:t>
      </w:r>
    </w:p>
    <w:p>
      <w:pPr>
        <w:pStyle w:val="ListBullet"/>
      </w:pPr>
      <w:r>
        <w:t>Filtri MTF, MA, ADX, ATR e news indipendenti.</w:t>
      </w:r>
    </w:p>
    <w:p>
      <w:pPr>
        <w:pStyle w:val="ListBullet"/>
      </w:pPr>
      <w:r>
        <w:t>Quattro PositionSizeMode e protezioni equity/margin.</w:t>
      </w:r>
    </w:p>
    <w:p>
      <w:pPr>
        <w:pStyle w:val="ListBullet"/>
      </w:pPr>
      <w:r>
        <w:t>Stop, take, breakeven, trailing e reversal formano l'uscita.</w:t>
      </w:r>
    </w:p>
    <w:p>
      <w:pPr>
        <w:pStyle w:val="ListBullet"/>
      </w:pPr>
      <w:r>
        <w:t>Dashboard, orari, lingue e WFO integrati.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Filtri</w:t>
      </w:r>
    </w:p>
    <w:p>
      <w:r>
        <w:t>MTF è allineamento MACD superiore; MA, ADX, volatilità ATR e news sono indipendenti.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Esecuzione e gestione</w:t>
      </w:r>
    </w:p>
    <w:p>
      <w:r>
        <w:t>Spread, margine, volume step, tick size e limiti stops/freeze influenzano gli ordini. Controllare il Journal.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Stack di uscita</w:t>
      </w:r>
    </w:p>
    <w:p>
      <w:r>
        <w:t>Stop, take ATR, breakeven, trailing ATR e reversal exit sono separati. ReversalExitUseEntryFilters controlla i filtri d'uscita.</w:t>
      </w:r>
    </w:p>
    <w:p>
      <w:pPr>
        <w:pStyle w:val="Heading2"/>
      </w:pPr>
      <w:r>
        <w:rPr>
          <w:color w:val="1E3A5F"/>
        </w:rPr>
        <w:t>Rischio e recupero</w:t>
      </w:r>
    </w:p>
    <w:p>
      <w:r>
        <w:t>Scegliere un PositionSizeMode. Percentage/Fixed-R richiedono stop. Grid, Martingale e D'Alembert sono modalità di ricerca.</w:t>
      </w:r>
    </w:p>
    <w:p>
      <w:pPr>
        <w:pStyle w:val="Heading2"/>
      </w:pPr>
      <w:r>
        <w:rPr>
          <w:color w:val="1E3A5F"/>
        </w:rPr>
        <w:t>Orari, interfaccia e WFO</w:t>
      </w:r>
    </w:p>
    <w:p>
      <w:r>
        <w:t>Si usa l'ora server del broker, anche oltre mezzanotte, con Saturday/Sunday. WFO definisce IS/OOS.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Telemetria dei cicli nel dashboard</w:t>
      </w:r>
    </w:p>
    <w:p>
      <w:r>
        <w:t>Il pannello usa gli stessi snapshot del calcolo lotti e della chiusura basket.</w:t>
      </w:r>
    </w:p>
    <w:p>
      <w:pPr>
        <w:pStyle w:val="ListBullet"/>
      </w:pPr>
      <w:r>
        <w:t>L'aggiornamento periodico per tick è limitato a una volta al secondo; inizializzazione ed eventi trade possono aggiornare subito.</w:t>
      </w:r>
    </w:p>
    <w:p>
      <w:pPr>
        <w:pStyle w:val="ListBullet"/>
      </w:pPr>
      <w:r>
        <w:t>Balance ed Equity riguardano l'intero conto. Closed P&amp;L è la variazione da OnInit; Open P&amp;L e posizioni sono attuali e filtrati per Symbol + Magic.</w:t>
      </w:r>
    </w:p>
    <w:p>
      <w:pPr>
        <w:pStyle w:val="ListBullet"/>
      </w:pPr>
      <w:r>
        <w:t>Martingale mostra per BUY/SELL perdite consecutive, numero e importo lordo delle perdite, recovered, deficit e target = deficit × Multiplicador.</w:t>
      </w:r>
    </w:p>
    <w:p>
      <w:pPr>
        <w:pStyle w:val="ListBullet"/>
      </w:pPr>
      <w:r>
        <w:t>Superare MaxMartingaleSteps esegue hard reset: elimina il vecchio deficit e il prossimo ordine usa base lot. Massimo una posizione aperta per lato.</w:t>
      </w:r>
    </w:p>
    <w:p>
      <w:pPr>
        <w:pStyle w:val="ListBullet"/>
      </w:pPr>
      <w:r>
        <w:t>D'Alembert mostra livello corrente e prossimo lotto normalizzato BUY/SELL.</w:t>
      </w:r>
    </w:p>
    <w:p>
      <w:pPr>
        <w:pStyle w:val="ListBullet"/>
      </w:pPr>
      <w:r>
        <w:t>Grid mostra legs/volume, realized con costi, open P&amp;L, cycle P&amp;L, target congelato all'avvio e remaining.</w:t>
      </w:r>
    </w:p>
    <w:p>
      <w:pPr>
        <w:pStyle w:val="ListBullet"/>
      </w:pPr>
      <w:r>
        <w:t>Anchor è la posizione confermata più recente. BUY richiede strettamente meno di anchor − ATR × DistanciaMinima, SELL strettamente più; avanzamento in ATR.</w:t>
      </w:r>
    </w:p>
    <w:p>
      <w:pPr>
        <w:pStyle w:val="ListBullet"/>
      </w:pPr>
      <w:r>
        <w:t>Separate termina solo il ciclo del lato flat; Unified termina quando entrambi sono flat. Ordini in corso ritardano il reset.</w:t>
      </w:r>
    </w:p>
    <w:p>
      <w:pPr>
        <w:pStyle w:val="ListBullet"/>
      </w:pPr>
      <w:r>
        <w:t>Target avvia la richiesta di chiusura; commissioni, fee e slippage di uscita possono lasciare il risultato finale leggermente inferiore.</w:t>
      </w:r>
    </w:p>
    <w:p>
      <w:pPr>
        <w:pStyle w:val="ListBullet"/>
      </w:pPr>
      <w:r>
        <w:t>InterfaceLanguage mantiene 11 lingue. Auto usa English nel Tester e la lingua terminale live; label non tradotte tornano a English.</w:t>
      </w:r>
    </w:p>
    <w:p>
      <w:pPr>
        <w:pStyle w:val="Heading2"/>
      </w:pPr>
      <w:r>
        <w:rPr>
          <w:color w:val="1E3A5F"/>
        </w:rPr>
        <w:t>Compatibilità e limiti</w:t>
      </w:r>
    </w:p>
    <w:p>
      <w:r>
        <w:t>Regole prudenti; prevalgono limiti broker più rigidi.</w:t>
      </w:r>
    </w:p>
    <w:p>
      <w:pPr>
        <w:pStyle w:val="ListBullet"/>
      </w:pPr>
      <w:r>
        <w:t>Percentage e Fixed-R richiedono AtivarStop=true.</w:t>
      </w:r>
    </w:p>
    <w:p>
      <w:pPr>
        <w:pStyle w:val="ListBullet"/>
      </w:pPr>
      <w:r>
        <w:t>Grid solo Monetary/Fixed Lot, Recovery_None e conto hedging.</w:t>
      </w:r>
    </w:p>
    <w:p>
      <w:pPr>
        <w:pStyle w:val="ListBullet"/>
      </w:pPr>
      <w:r>
        <w:t>Grid richiede take, DistanciaMinima positivo e limite almeno due.</w:t>
      </w:r>
    </w:p>
    <w:p>
      <w:pPr>
        <w:pStyle w:val="ListBullet"/>
      </w:pPr>
      <w:r>
        <w:t>Finché il basket resta aperto, perdite realizzate, swap, commissioni e costi del ciclo restano inclusi nel risultato necessario al target; il profitto isolato di una gamba non li cancella.</w:t>
      </w:r>
    </w:p>
    <w:p>
      <w:pPr>
        <w:pStyle w:val="ListBullet"/>
      </w:pPr>
      <w:r>
        <w:t>In Grid_SeparateProfit i cicli BUY e SELL sono indipendenti. Se spariscono tutte le posizioni di un lato, quel ciclo termina; un ingresso successivo riparte senza riportare il deficit chiuso.</w:t>
      </w:r>
    </w:p>
    <w:p>
      <w:pPr>
        <w:pStyle w:val="ListBullet"/>
      </w:pPr>
      <w:r>
        <w:t>D'Alembert solo Fixed Lot, Grid_Disabled e DAlembertStep&gt;0.</w:t>
      </w:r>
    </w:p>
    <w:p>
      <w:pPr>
        <w:pStyle w:val="ListBullet"/>
      </w:pPr>
      <w:r>
        <w:t>Martingale rispetta MaxMartingaleSteps e MaxMartingaleLot.</w:t>
      </w:r>
    </w:p>
    <w:p>
      <w:pPr>
        <w:pStyle w:val="ListBullet"/>
      </w:pPr>
      <w:r>
        <w:t>OnOppositeOrder richiede hedging, entrambi i lati e grid spento.</w:t>
      </w:r>
    </w:p>
    <w:p>
      <w:pPr>
        <w:pStyle w:val="ListBullet"/>
      </w:pPr>
      <w:r>
        <w:t>Backtest news richiede CSV in Common\Files.</w:t>
      </w:r>
    </w:p>
    <w:p>
      <w:pPr>
        <w:pStyle w:val="ListBullet"/>
      </w:pPr>
      <w:r>
        <w:t>Gli orari usano l'ora server.</w:t>
      </w:r>
    </w:p>
    <w:p>
      <w:pPr>
        <w:pStyle w:val="ListBullet"/>
      </w:pPr>
      <w:r>
        <w:t>Validare suffix e specifiche per ogni broker.</w:t>
      </w:r>
    </w:p>
    <w:p>
      <w:pPr>
        <w:pStyle w:val="Heading2"/>
      </w:pPr>
      <w:r>
        <w:rPr>
          <w:color w:val="1E3A5F"/>
        </w:rPr>
        <w:t>Libreria set rilevata</w:t>
      </w:r>
    </w:p>
    <w:p>
      <w:r>
        <w:t>I conteggi provengono da file e manifesto. Ogni set è un'ipotesi.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Avviso di rischio</w:t>
      </w:r>
    </w:p>
    <w:p>
      <w:r>
        <w:t>Nessun EA, set o storico garantisce il futuro. Validare OOS e demo.</w:t>
      </w:r>
    </w:p>
    <w:p>
      <w:pPr>
        <w:pStyle w:val="Heading2"/>
      </w:pPr>
      <w:r>
        <w:rPr>
          <w:color w:val="1E3A5F"/>
        </w:rPr>
        <w:t>Riferimento completo inputs</w:t>
      </w:r>
    </w:p>
    <w:p>
      <w:r>
        <w:t>La tabella segue la fonte. Le stringhe separatrici appartengono allo schema .set.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Section</w:t>
            </w:r>
          </w:p>
        </w:tc>
        <w:tc>
          <w:tcPr>
            <w:tcW w:type="dxa" w:w="960"/>
          </w:tcPr>
          <w:p>
            <w:r>
              <w:t>Subsection</w:t>
            </w:r>
          </w:p>
        </w:tc>
        <w:tc>
          <w:tcPr>
            <w:tcW w:type="dxa" w:w="960"/>
          </w:tcPr>
          <w:p>
            <w:r>
              <w:t>Parameter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Source description</w:t>
            </w:r>
          </w:p>
        </w:tc>
        <w:tc>
          <w:tcPr>
            <w:tcW w:type="dxa" w:w="960"/>
          </w:tcPr>
          <w:p>
            <w:r>
              <w:t>Enum options</w:t>
            </w:r>
          </w:p>
        </w:tc>
        <w:tc>
          <w:tcPr>
            <w:tcW w:type="dxa" w:w="960"/>
          </w:tcPr>
          <w:p>
            <w:r>
              <w:t>Operational notes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