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5F"/>
        </w:rPr>
        <w:t>White Rabbit X — Compatibilità tecnica</w:t>
      </w:r>
    </w:p>
    <w:p>
      <w:r>
        <w:t>Riferimento autorevole generato dalla fonte EA e dal manifesto correnti — EA 1.11 — 127 inputs — 3738 sets</w:t>
      </w:r>
    </w:p>
    <w:p>
      <w:pPr>
        <w:pStyle w:val="Heading2"/>
      </w:pPr>
      <w:r>
        <w:rPr>
          <w:color w:val="1E3A5F"/>
        </w:rPr>
        <w:t>Ambito e fonti di verità</w:t>
      </w:r>
    </w:p>
    <w:p>
      <w:r>
        <w:t>La fonte definisce inputs, valori e funzioni; il manifesto definisce ogni set, stato, percorso e SHA-256. L'archivio Quantum è solo storico.</w:t>
      </w:r>
    </w:p>
    <w:p>
      <w:r>
        <w:t>EA SHA-256: D85A30A0836A9BE75F6DFC55868BDC664EE1FC7F5DD0840C029DEB0EF8AC8973. Manifest SHA-256: E96B9E4050F8EA8B764E187BD6CC1E907AE2AE8C4A6489C9EF2D3317C6003F75.</w:t>
      </w:r>
    </w:p>
    <w:p>
      <w:r>
        <w:t>Materiale generato; gli identificatori corrispondono esattamente all'EA.</w:t>
      </w:r>
    </w:p>
    <w:p>
      <w:pPr>
        <w:pStyle w:val="Heading2"/>
      </w:pPr>
      <w:r>
        <w:rPr>
          <w:color w:val="1E3A5F"/>
        </w:rPr>
        <w:t>Telemetria dei cicli nel dashboard</w:t>
      </w:r>
    </w:p>
    <w:p>
      <w:r>
        <w:t>Il pannello usa gli stessi snapshot del calcolo lotti e della chiusura basket.</w:t>
      </w:r>
    </w:p>
    <w:p>
      <w:pPr>
        <w:pStyle w:val="ListBullet"/>
      </w:pPr>
      <w:r>
        <w:t>L'aggiornamento periodico per tick è limitato a una volta al secondo; inizializzazione ed eventi trade possono aggiornare subito.</w:t>
      </w:r>
    </w:p>
    <w:p>
      <w:pPr>
        <w:pStyle w:val="ListBullet"/>
      </w:pPr>
      <w:r>
        <w:t>Balance ed Equity riguardano l'intero conto. Closed P&amp;L è la variazione da OnInit; Open P&amp;L e posizioni sono attuali e filtrati per Symbol + Magic.</w:t>
      </w:r>
    </w:p>
    <w:p>
      <w:pPr>
        <w:pStyle w:val="ListBullet"/>
      </w:pPr>
      <w:r>
        <w:t>Martingale mostra per BUY/SELL perdite consecutive, numero e importo lordo delle perdite, recovered, deficit e target = deficit × Multiplicador.</w:t>
      </w:r>
    </w:p>
    <w:p>
      <w:pPr>
        <w:pStyle w:val="ListBullet"/>
      </w:pPr>
      <w:r>
        <w:t>Superare MaxMartingaleSteps esegue hard reset: elimina il vecchio deficit e il prossimo ordine usa base lot. Massimo una posizione aperta per lato.</w:t>
      </w:r>
    </w:p>
    <w:p>
      <w:pPr>
        <w:pStyle w:val="ListBullet"/>
      </w:pPr>
      <w:r>
        <w:t>D'Alembert mostra livello corrente e prossimo lotto normalizzato BUY/SELL.</w:t>
      </w:r>
    </w:p>
    <w:p>
      <w:pPr>
        <w:pStyle w:val="ListBullet"/>
      </w:pPr>
      <w:r>
        <w:t>Grid mostra legs/volume, realized con costi, open P&amp;L, cycle P&amp;L, target congelato all'avvio e remaining.</w:t>
      </w:r>
    </w:p>
    <w:p>
      <w:pPr>
        <w:pStyle w:val="ListBullet"/>
      </w:pPr>
      <w:r>
        <w:t>Anchor è la posizione confermata più recente. BUY richiede strettamente meno di anchor − ATR × DistanciaMinima, SELL strettamente più; avanzamento in ATR.</w:t>
      </w:r>
    </w:p>
    <w:p>
      <w:pPr>
        <w:pStyle w:val="ListBullet"/>
      </w:pPr>
      <w:r>
        <w:t>Separate termina solo il ciclo del lato flat; Unified termina quando entrambi sono flat. Ordini in corso ritardano il reset.</w:t>
      </w:r>
    </w:p>
    <w:p>
      <w:pPr>
        <w:pStyle w:val="ListBullet"/>
      </w:pPr>
      <w:r>
        <w:t>Target avvia la richiesta di chiusura; commissioni, fee e slippage di uscita possono lasciare il risultato finale leggermente inferiore.</w:t>
      </w:r>
    </w:p>
    <w:p>
      <w:pPr>
        <w:pStyle w:val="ListBullet"/>
      </w:pPr>
      <w:r>
        <w:t>InterfaceLanguage mantiene 11 lingue. Auto usa English nel Tester e la lingua terminale live; label non tradotte tornano a English.</w:t>
      </w:r>
    </w:p>
    <w:p>
      <w:pPr>
        <w:pStyle w:val="Heading2"/>
      </w:pPr>
      <w:r>
        <w:rPr>
          <w:color w:val="1E3A5F"/>
        </w:rPr>
        <w:t>Compatibilità e limiti</w:t>
      </w:r>
    </w:p>
    <w:p>
      <w:r>
        <w:t>Regole prudenti; prevalgono limiti broker più rigidi.</w:t>
      </w:r>
    </w:p>
    <w:p>
      <w:pPr>
        <w:pStyle w:val="ListBullet"/>
      </w:pPr>
      <w:r>
        <w:t>Percentage e Fixed-R richiedono AtivarStop=true.</w:t>
      </w:r>
    </w:p>
    <w:p>
      <w:pPr>
        <w:pStyle w:val="ListBullet"/>
      </w:pPr>
      <w:r>
        <w:t>Grid solo Monetary/Fixed Lot, Recovery_None e conto hedging.</w:t>
      </w:r>
    </w:p>
    <w:p>
      <w:pPr>
        <w:pStyle w:val="ListBullet"/>
      </w:pPr>
      <w:r>
        <w:t>Grid richiede take, DistanciaMinima positivo e limite almeno due.</w:t>
      </w:r>
    </w:p>
    <w:p>
      <w:pPr>
        <w:pStyle w:val="ListBullet"/>
      </w:pPr>
      <w:r>
        <w:t>Finché il basket resta aperto, perdite realizzate, swap, commissioni e costi del ciclo restano inclusi nel risultato necessario al target; il profitto isolato di una gamba non li cancella.</w:t>
      </w:r>
    </w:p>
    <w:p>
      <w:pPr>
        <w:pStyle w:val="ListBullet"/>
      </w:pPr>
      <w:r>
        <w:t>In Grid_SeparateProfit i cicli BUY e SELL sono indipendenti. Se spariscono tutte le posizioni di un lato, quel ciclo termina; un ingresso successivo riparte senza riportare il deficit chiuso.</w:t>
      </w:r>
    </w:p>
    <w:p>
      <w:pPr>
        <w:pStyle w:val="ListBullet"/>
      </w:pPr>
      <w:r>
        <w:t>D'Alembert solo Fixed Lot, Grid_Disabled e DAlembertStep&gt;0.</w:t>
      </w:r>
    </w:p>
    <w:p>
      <w:pPr>
        <w:pStyle w:val="ListBullet"/>
      </w:pPr>
      <w:r>
        <w:t>Martingale rispetta MaxMartingaleSteps e MaxMartingaleLot.</w:t>
      </w:r>
    </w:p>
    <w:p>
      <w:pPr>
        <w:pStyle w:val="ListBullet"/>
      </w:pPr>
      <w:r>
        <w:t>OnOppositeOrder richiede hedging, entrambi i lati e grid spento.</w:t>
      </w:r>
    </w:p>
    <w:p>
      <w:pPr>
        <w:pStyle w:val="ListBullet"/>
      </w:pPr>
      <w:r>
        <w:t>Backtest news richiede CSV in Common\Files.</w:t>
      </w:r>
    </w:p>
    <w:p>
      <w:pPr>
        <w:pStyle w:val="ListBullet"/>
      </w:pPr>
      <w:r>
        <w:t>Gli orari usano l'ora server.</w:t>
      </w:r>
    </w:p>
    <w:p>
      <w:pPr>
        <w:pStyle w:val="ListBullet"/>
      </w:pPr>
      <w:r>
        <w:t>Validare suffix e specifiche per ogni broker.</w:t>
      </w:r>
    </w:p>
    <w:p>
      <w:pPr>
        <w:pStyle w:val="Heading2"/>
      </w:pPr>
      <w:r>
        <w:rPr>
          <w:color w:val="1E3A5F"/>
        </w:rPr>
        <w:t>Segnali e ingressi</w:t>
      </w:r>
    </w:p>
    <w:p>
      <w:r>
        <w:t>Sei motori condividono reversal, signal/reference cross e baseline/reference cross. And richiede la stessa candela chiusa; All accetta qualsiasi evento.</w:t>
      </w:r>
    </w:p>
    <w:p>
      <w:pPr>
        <w:pStyle w:val="ListBullet"/>
      </w:pPr>
      <w:r>
        <w:t>EntryIndicator: MACD, EMA_Cross, Momentum, Stochastic, TRIX, RSI, CCI, WPR, DeMarker, MFI, OsMA, Ichimoku.</w:t>
      </w:r>
    </w:p>
    <w:p>
      <w:pPr>
        <w:pStyle w:val="ListBullet"/>
      </w:pPr>
      <w:r>
        <w:t>EntryMethod: Reversal, SignalCross, ReferenceCross, ReversalAndSignalCross, ReversalAndReferenceCross, SignalAndReferenceCross, All.</w:t>
      </w:r>
    </w:p>
    <w:p>
      <w:pPr>
        <w:pStyle w:val="ListBullet"/>
      </w:pPr>
      <w:r>
        <w:t>PositionSizeMode: Percentage, Monetary, FixedLot, FixedR.</w:t>
      </w:r>
    </w:p>
    <w:p>
      <w:pPr>
        <w:pStyle w:val="ListBullet"/>
      </w:pPr>
      <w:r>
        <w:t>RecoveryMode: None, Martingale, DAlembert.</w:t>
      </w:r>
    </w:p>
    <w:p>
      <w:pPr>
        <w:pStyle w:val="ListBullet"/>
      </w:pPr>
      <w:r>
        <w:t>GridMode: Disabled, SeparateProfit, UnifiedProfit.</w:t>
      </w:r>
    </w:p>
    <w:p>
      <w:pPr>
        <w:pStyle w:val="Heading2"/>
      </w:pPr>
      <w:r>
        <w:rPr>
          <w:color w:val="1E3A5F"/>
        </w:rPr>
        <w:t>News filter and CSV workflow</w:t>
      </w:r>
    </w:p>
    <w:p>
      <w:r>
        <w:t>Live mode reads the MT5 Economic Calendar in broker-server time and blocks new entries if the calendar query fails. Backtests cannot read that live calendar: run MQL5\Scripts\White Rabbit News Exporter on a live/demo chart, cover the entire test interval, and write NewsCSVFile to the terminal Common\Files folder. The semicolon-delimited header is datetime;currency;importance;event_name, where importance 2 is moderate and 3 is high. Use the same broker/server timezone; for suffixed or non-FX symbols set ExportMoedas and NewsMoedasManual explicitly. Manual currencies take precedence over automatic symbol parsing.</w:t>
      </w:r>
    </w:p>
    <w:p>
      <w:pPr>
        <w:pStyle w:val="Heading2"/>
      </w:pPr>
      <w:r>
        <w:rPr>
          <w:color w:val="1E3A5F"/>
        </w:rPr>
        <w:t>Grid cycle and ATR spacing</w:t>
      </w:r>
    </w:p>
    <w:p>
      <w:r>
        <w:t>Every additional grid leg is measured from the newest already-confirmed position on that side and must satisfy ATR × DistanciaMinima. The initial order cannot recursively trigger another leg in the same calculation event; it becomes the anchor on the following cycle. Individual grid take-profits are disabled: Separate mode evaluates independent BUY/SELL cycles against frozen monetary targets and ends a side when it becomes flat; Unified evaluates the aggregate BUY+SELL basket and ends when both sides are flat. Realized commissions, swap, fees and stopped legs remain in the result while the corresponding cycle is open. The target triggers a close request, so actual exit costs and slippage can leave the final result slightly below it. Live cycle state is persisted across an EA restart. Grid is hedging-only and must be reoptimized after any EA, broker-contract or cost change.</w:t>
      </w:r>
    </w:p>
    <w:p>
      <w:pPr>
        <w:pStyle w:val="Heading2"/>
      </w:pPr>
      <w:r>
        <w:rPr>
          <w:color w:val="1E3A5F"/>
        </w:rPr>
        <w:t>Stati e decisione</w:t>
      </w:r>
    </w:p>
    <w:p>
      <w:r>
        <w:t>Lo stato esatto resta e viene mappato prudentemente in USE, REOPTIMIZE, RESEARCH o HOLD.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Sistema</w:t>
            </w:r>
          </w:p>
        </w:tc>
        <w:tc>
          <w:tcPr>
            <w:tcW w:type="dxa" w:w="2880"/>
          </w:tcPr>
          <w:p>
            <w:r>
              <w:t>Gestione</w:t>
            </w:r>
          </w:p>
        </w:tc>
        <w:tc>
          <w:tcPr>
            <w:tcW w:type="dxa" w:w="2880"/>
          </w:tcPr>
          <w:p>
            <w:r>
              <w:t>Set</w:t>
            </w:r>
          </w:p>
        </w:tc>
      </w:tr>
      <w:tr>
        <w:tc>
          <w:tcPr>
            <w:tcW w:type="dxa" w:w="2880"/>
          </w:tcPr>
          <w:p>
            <w:r>
              <w:t>01_SLTP</w:t>
            </w:r>
          </w:p>
        </w:tc>
        <w:tc>
          <w:tcPr>
            <w:tcW w:type="dxa" w:w="2880"/>
          </w:tcPr>
          <w:p>
            <w:r>
              <w:t>Stop Loss + Take Profit as ATR multiples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02_SLTP_ORGANIC</w:t>
            </w:r>
          </w:p>
        </w:tc>
        <w:tc>
          <w:tcPr>
            <w:tcW w:type="dxa" w:w="2880"/>
          </w:tcPr>
          <w:p>
            <w:r>
              <w:t>SL + organic take anchored on the last trade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03_TRAIL_ONLY</w:t>
            </w:r>
          </w:p>
        </w:tc>
        <w:tc>
          <w:tcPr>
            <w:tcW w:type="dxa" w:w="2880"/>
          </w:tcPr>
          <w:p>
            <w:r>
              <w:t>SL + trailing, no TP: let it run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04_SLTP_TRAIL</w:t>
            </w:r>
          </w:p>
        </w:tc>
        <w:tc>
          <w:tcPr>
            <w:tcW w:type="dxa" w:w="2880"/>
          </w:tcPr>
          <w:p>
            <w:r>
              <w:t>SL + TP + trailing behind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05_BE_TRAIL</w:t>
            </w:r>
          </w:p>
        </w:tc>
        <w:tc>
          <w:tcPr>
            <w:tcW w:type="dxa" w:w="2880"/>
          </w:tcPr>
          <w:p>
            <w:r>
              <w:t>Mandatory breakeven + trailing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06_REVERSAL_EXIT</w:t>
            </w:r>
          </w:p>
        </w:tc>
        <w:tc>
          <w:tcPr>
            <w:tcW w:type="dxa" w:w="2880"/>
          </w:tcPr>
          <w:p>
            <w:r>
              <w:t>Closes on the indicator's opposite signal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07_GRID_SEPARATE</w:t>
            </w:r>
          </w:p>
        </w:tc>
        <w:tc>
          <w:tcPr>
            <w:tcW w:type="dxa" w:w="2880"/>
          </w:tcPr>
          <w:p>
            <w:r>
              <w:t>Grid with a target per side (hedging account)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08_GRID_UNIFIED</w:t>
            </w:r>
          </w:p>
        </w:tc>
        <w:tc>
          <w:tcPr>
            <w:tcW w:type="dxa" w:w="2880"/>
          </w:tcPr>
          <w:p>
            <w:r>
              <w:t>Grid with a single basket target (hedging account)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09_MARTINGALE</w:t>
            </w:r>
          </w:p>
        </w:tc>
        <w:tc>
          <w:tcPr>
            <w:tcW w:type="dxa" w:w="2880"/>
          </w:tcPr>
          <w:p>
            <w:r>
              <w:t>Lot doubles after a loss, one position per side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10_DALEMBERT</w:t>
            </w:r>
          </w:p>
        </w:tc>
        <w:tc>
          <w:tcPr>
            <w:tcW w:type="dxa" w:w="2880"/>
          </w:tcPr>
          <w:p>
            <w:r>
              <w:t>Lot grows in arithmetic steps after a loss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11_SIGNAL_ONLY</w:t>
            </w:r>
          </w:p>
        </w:tc>
        <w:tc>
          <w:tcPr>
            <w:tcW w:type="dxa" w:w="2880"/>
          </w:tcPr>
          <w:p>
            <w:r>
              <w:t>No SL and no TP: measures the raw signal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</w:tbl>
    <w:p>
      <w:pPr>
        <w:pStyle w:val="Heading2"/>
      </w:pPr>
      <w:r>
        <w:rPr>
          <w:color w:val="1E3A5F"/>
        </w:rPr>
        <w:t>Diagnostics and supplied utilities</w:t>
      </w:r>
    </w:p>
    <w:p>
      <w:r>
        <w:t>The Experts/Journal tab is authoritative for rejected inputs, OrderCheck failures, news-calendar errors and close retries. Compile and run MQL5\Scripts\WhiteRabbit Filters SelfTest; its final line must report zero failures. Use White Rabbit News Exporter to build the test CSV, then verify its date range, currencies, delimiter and Common\Files location before a news-enabled backtest.</w:t>
      </w:r>
    </w:p>
    <w:p>
      <w:pPr>
        <w:pStyle w:val="Heading2"/>
      </w:pPr>
      <w:r>
        <w:rPr>
          <w:color w:val="1E3A5F"/>
        </w:rPr>
        <w:t>Avviso di rischio</w:t>
      </w:r>
    </w:p>
    <w:p>
      <w:r>
        <w:t>Nessun EA, set o storico garantisce il futuro. Validare OOS e demo.</w:t>
      </w:r>
    </w:p>
    <w:p>
      <w:pPr>
        <w:jc w:val="center"/>
      </w:pPr>
      <w:r>
        <w:t>____________________________________________________________</w:t>
      </w:r>
    </w:p>
    <w:p>
      <w:r>
        <w:t>EA SHA-256: D85A30A0836A9BE75F6DFC55868BDC664EE1FC7F5DD0840C029DEB0EF8AC8973 EA version: 1.12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