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E3A5F"/>
        </w:rPr>
        <w:t>White Rabbit X — Tutorial do Ecossistema de Sets</w:t>
      </w:r>
    </w:p>
    <w:p>
      <w:r>
        <w:t>Referência autoritativa gerada da fonte atual da EA e do manifesto de sets — EA 1.11 — 127 inputs — 3738 sets</w:t>
      </w:r>
    </w:p>
    <w:p>
      <w:pPr>
        <w:pStyle w:val="Heading2"/>
      </w:pPr>
      <w:r>
        <w:rPr>
          <w:color w:val="1E3A5F"/>
        </w:rPr>
        <w:t>Escopo e fontes de verdade</w:t>
      </w:r>
    </w:p>
    <w:p>
      <w:r>
        <w:t>A fonte da EA define o esquema de inputs, padrões, enums e recursos atuais. O manifesto define cada set, família, status, caminho e hash de integridade. O material Quantum antigo é apenas histórico e não deve orientar a versão atual.</w:t>
      </w:r>
    </w:p>
    <w:p>
      <w:r>
        <w:t>EA SHA-256: D85A30A0836A9BE75F6DFC55868BDC664EE1FC7F5DD0840C029DEB0EF8AC8973. Manifest SHA-256: E96B9E4050F8EA8B764E187BD6CC1E907AE2AE8C4A6489C9EF2D3317C6003F75.</w:t>
      </w:r>
    </w:p>
    <w:p>
      <w:r>
        <w:t>Material gerado. Os identificadores dos parâmetros permanecem idênticos aos declarados pela EA.</w:t>
      </w:r>
    </w:p>
    <w:p>
      <w:pPr>
        <w:pStyle w:val="Heading2"/>
      </w:pPr>
      <w:r>
        <w:rPr>
          <w:color w:val="1E3A5F"/>
        </w:rPr>
        <w:t>Instalação e primeiro teste</w:t>
      </w:r>
    </w:p>
    <w:p>
      <w:r>
        <w:t>Instale ou compile o EX5 correspondente, copie os sets ao perfil Tester, selecione o símbolo correto do broker, carregue um set em Inputs e confira cada mensagem de validação.</w:t>
      </w:r>
    </w:p>
    <w:p>
      <w:pPr>
        <w:pStyle w:val="Heading2"/>
      </w:pPr>
      <w:r>
        <w:rPr>
          <w:color w:val="1E3A5F"/>
        </w:rPr>
        <w:t>Biblioteca de sets detectada</w:t>
      </w:r>
    </w:p>
    <w:p>
      <w:r>
        <w:t>Cada .set é uma hipótese de pesquisa ou otimização. Todas as contagens vêm do sistema de arquivos e do manifesto atual; nenhuma quantidade está fixa no modelo deste documento. Contagens e fingerprints foram lidos no momento da geração.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Pasta</w:t>
            </w:r>
          </w:p>
        </w:tc>
        <w:tc>
          <w:tcPr>
            <w:tcW w:type="dxa" w:w="2880"/>
          </w:tcPr>
          <w:p>
            <w:r>
              <w:t>Sets</w:t>
            </w:r>
          </w:p>
        </w:tc>
        <w:tc>
          <w:tcPr>
            <w:tcW w:type="dxa" w:w="2880"/>
          </w:tcPr>
          <w:p>
            <w:r>
              <w:t>Finalidade</w:t>
            </w:r>
          </w:p>
        </w:tc>
      </w:tr>
      <w:tr>
        <w:tc>
          <w:tcPr>
            <w:tcW w:type="dxa" w:w="2880"/>
          </w:tcPr>
          <w:p>
            <w:r>
              <w:t>01_Forex</w:t>
            </w:r>
          </w:p>
        </w:tc>
        <w:tc>
          <w:tcPr>
            <w:tcW w:type="dxa" w:w="2880"/>
          </w:tcPr>
          <w:p>
            <w:r>
              <w:t>168</w:t>
            </w:r>
          </w:p>
        </w:tc>
        <w:tc>
          <w:tcPr>
            <w:tcW w:type="dxa" w:w="2880"/>
          </w:tcPr>
          <w:p>
            <w:r>
              <w:t>Baselines por ativo — Forex.</w:t>
            </w:r>
          </w:p>
        </w:tc>
      </w:tr>
      <w:tr>
        <w:tc>
          <w:tcPr>
            <w:tcW w:type="dxa" w:w="2880"/>
          </w:tcPr>
          <w:p>
            <w:r>
              <w:t>02_Metals</w:t>
            </w:r>
          </w:p>
        </w:tc>
        <w:tc>
          <w:tcPr>
            <w:tcW w:type="dxa" w:w="2880"/>
          </w:tcPr>
          <w:p>
            <w:r>
              <w:t>18</w:t>
            </w:r>
          </w:p>
        </w:tc>
        <w:tc>
          <w:tcPr>
            <w:tcW w:type="dxa" w:w="2880"/>
          </w:tcPr>
          <w:p>
            <w:r>
              <w:t>Baselines por ativo — Metals.</w:t>
            </w:r>
          </w:p>
        </w:tc>
      </w:tr>
      <w:tr>
        <w:tc>
          <w:tcPr>
            <w:tcW w:type="dxa" w:w="2880"/>
          </w:tcPr>
          <w:p>
            <w:r>
              <w:t>03_Cryptocurrencies</w:t>
            </w:r>
          </w:p>
        </w:tc>
        <w:tc>
          <w:tcPr>
            <w:tcW w:type="dxa" w:w="2880"/>
          </w:tcPr>
          <w:p>
            <w:r>
              <w:t>36</w:t>
            </w:r>
          </w:p>
        </w:tc>
        <w:tc>
          <w:tcPr>
            <w:tcW w:type="dxa" w:w="2880"/>
          </w:tcPr>
          <w:p>
            <w:r>
              <w:t>Baselines por ativo — Cryptocurrencies.</w:t>
            </w:r>
          </w:p>
        </w:tc>
      </w:tr>
      <w:tr>
        <w:tc>
          <w:tcPr>
            <w:tcW w:type="dxa" w:w="2880"/>
          </w:tcPr>
          <w:p>
            <w:r>
              <w:t>04_Indices_Energies</w:t>
            </w:r>
          </w:p>
        </w:tc>
        <w:tc>
          <w:tcPr>
            <w:tcW w:type="dxa" w:w="2880"/>
          </w:tcPr>
          <w:p>
            <w:r>
              <w:t>42</w:t>
            </w:r>
          </w:p>
        </w:tc>
        <w:tc>
          <w:tcPr>
            <w:tcW w:type="dxa" w:w="2880"/>
          </w:tcPr>
          <w:p>
            <w:r>
              <w:t>Baselines por ativo — Indices Energies.</w:t>
            </w:r>
          </w:p>
        </w:tc>
      </w:tr>
      <w:tr>
        <w:tc>
          <w:tcPr>
            <w:tcW w:type="dxa" w:w="2880"/>
          </w:tcPr>
          <w:p>
            <w:r>
              <w:t>05_US_Stocks_CFD</w:t>
            </w:r>
          </w:p>
        </w:tc>
        <w:tc>
          <w:tcPr>
            <w:tcW w:type="dxa" w:w="2880"/>
          </w:tcPr>
          <w:p>
            <w:r>
              <w:t>300</w:t>
            </w:r>
          </w:p>
        </w:tc>
        <w:tc>
          <w:tcPr>
            <w:tcW w:type="dxa" w:w="2880"/>
          </w:tcPr>
          <w:p>
            <w:r>
              <w:t>Baselines por ativo — US Stocks CFD.</w:t>
            </w:r>
          </w:p>
        </w:tc>
      </w:tr>
      <w:tr>
        <w:tc>
          <w:tcPr>
            <w:tcW w:type="dxa" w:w="2880"/>
          </w:tcPr>
          <w:p>
            <w:r>
              <w:t>06_Research_Matrix</w:t>
            </w:r>
          </w:p>
        </w:tc>
        <w:tc>
          <w:tcPr>
            <w:tcW w:type="dxa" w:w="2880"/>
          </w:tcPr>
          <w:p>
            <w:r>
              <w:t>935</w:t>
            </w:r>
          </w:p>
        </w:tc>
        <w:tc>
          <w:tcPr>
            <w:tcW w:type="dxa" w:w="2880"/>
          </w:tcPr>
          <w:p>
            <w:r>
              <w:t>Pesquisa controlada de um eixo.</w:t>
            </w:r>
          </w:p>
        </w:tc>
      </w:tr>
      <w:tr>
        <w:tc>
          <w:tcPr>
            <w:tcW w:type="dxa" w:w="2880"/>
          </w:tcPr>
          <w:p>
            <w:r>
              <w:t>07_Entry_System_Matrix</w:t>
            </w:r>
          </w:p>
        </w:tc>
        <w:tc>
          <w:tcPr>
            <w:tcW w:type="dxa" w:w="2880"/>
          </w:tcPr>
          <w:p>
            <w:r>
              <w:t>3360</w:t>
            </w:r>
          </w:p>
        </w:tc>
        <w:tc>
          <w:tcPr>
            <w:tcW w:type="dxa" w:w="2880"/>
          </w:tcPr>
          <w:p>
            <w:r>
              <w:t>Matriz indicador × método × gestão.</w:t>
            </w:r>
          </w:p>
        </w:tc>
      </w:tr>
      <w:tr>
        <w:tc>
          <w:tcPr>
            <w:tcW w:type="dxa" w:w="2880"/>
          </w:tcPr>
          <w:p>
            <w:r>
              <w:t>08_Filter_Stack_Matrix</w:t>
            </w:r>
          </w:p>
        </w:tc>
        <w:tc>
          <w:tcPr>
            <w:tcW w:type="dxa" w:w="2880"/>
          </w:tcPr>
          <w:p>
            <w:r>
              <w:t>320</w:t>
            </w:r>
          </w:p>
        </w:tc>
        <w:tc>
          <w:tcPr>
            <w:tcW w:type="dxa" w:w="2880"/>
          </w:tcPr>
          <w:p>
            <w:r>
              <w:t>Combinações dos filtros de sinal.</w:t>
            </w:r>
          </w:p>
        </w:tc>
      </w:tr>
      <w:tr>
        <w:tc>
          <w:tcPr>
            <w:tcW w:type="dxa" w:w="2880"/>
          </w:tcPr>
          <w:p>
            <w:r>
              <w:t>09_Risk_Engine_Matrix</w:t>
            </w:r>
          </w:p>
        </w:tc>
        <w:tc>
          <w:tcPr>
            <w:tcW w:type="dxa" w:w="2880"/>
          </w:tcPr>
          <w:p>
            <w:r>
              <w:t>130</w:t>
            </w:r>
          </w:p>
        </w:tc>
        <w:tc>
          <w:tcPr>
            <w:tcW w:type="dxa" w:w="2880"/>
          </w:tcPr>
          <w:p>
            <w:r>
              <w:t>Modelos de tamanho, risco e recuperação compatíveis.</w:t>
            </w:r>
          </w:p>
        </w:tc>
      </w:tr>
      <w:tr>
        <w:tc>
          <w:tcPr>
            <w:tcW w:type="dxa" w:w="2880"/>
          </w:tcPr>
          <w:p>
            <w:r>
              <w:t>10_Exit_Stack_Matrix</w:t>
            </w:r>
          </w:p>
        </w:tc>
        <w:tc>
          <w:tcPr>
            <w:tcW w:type="dxa" w:w="2880"/>
          </w:tcPr>
          <w:p>
            <w:r>
              <w:t>720</w:t>
            </w:r>
          </w:p>
        </w:tc>
        <w:tc>
          <w:tcPr>
            <w:tcW w:type="dxa" w:w="2880"/>
          </w:tcPr>
          <w:p>
            <w:r>
              <w:t>Combinações dos controles de saída.</w:t>
            </w:r>
          </w:p>
        </w:tc>
      </w:tr>
    </w:tbl>
    <w:p>
      <w:pPr>
        <w:pStyle w:val="Heading2"/>
      </w:pPr>
      <w:r>
        <w:rPr>
          <w:color w:val="1E3A5F"/>
        </w:rPr>
        <w:t>Status do manifesto e decisão de liberação</w:t>
      </w:r>
    </w:p>
    <w:p>
      <w:r>
        <w:t>O status exato do manifesto é preservado e também recebe uma decisão conservadora: USE, REOPTIMIZE, RESEARCH ou HOLD. Somente um USE explícito é tratado como pronto para o ambiente definido.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Sistema</w:t>
            </w:r>
          </w:p>
        </w:tc>
        <w:tc>
          <w:tcPr>
            <w:tcW w:type="dxa" w:w="2880"/>
          </w:tcPr>
          <w:p>
            <w:r>
              <w:t>Gestao</w:t>
            </w:r>
          </w:p>
        </w:tc>
        <w:tc>
          <w:tcPr>
            <w:tcW w:type="dxa" w:w="2880"/>
          </w:tcPr>
          <w:p>
            <w:r>
              <w:t>Sets</w:t>
            </w:r>
          </w:p>
        </w:tc>
      </w:tr>
      <w:tr>
        <w:tc>
          <w:tcPr>
            <w:tcW w:type="dxa" w:w="2880"/>
          </w:tcPr>
          <w:p>
            <w:r>
              <w:t>01_SLTP</w:t>
            </w:r>
          </w:p>
        </w:tc>
        <w:tc>
          <w:tcPr>
            <w:tcW w:type="dxa" w:w="2880"/>
          </w:tcPr>
          <w:p>
            <w:r>
              <w:t>Stop Loss + Take Profit em multiplos de ATR</w:t>
            </w:r>
          </w:p>
        </w:tc>
        <w:tc>
          <w:tcPr>
            <w:tcW w:type="dxa" w:w="2880"/>
          </w:tcPr>
          <w:p>
            <w:r>
              <w:t>356</w:t>
            </w:r>
          </w:p>
        </w:tc>
      </w:tr>
      <w:tr>
        <w:tc>
          <w:tcPr>
            <w:tcW w:type="dxa" w:w="2880"/>
          </w:tcPr>
          <w:p>
            <w:r>
              <w:t>02_SLTP_ORGANIC</w:t>
            </w:r>
          </w:p>
        </w:tc>
        <w:tc>
          <w:tcPr>
            <w:tcW w:type="dxa" w:w="2880"/>
          </w:tcPr>
          <w:p>
            <w:r>
              <w:t>SL + take organico ancorado no ultimo trade</w:t>
            </w:r>
          </w:p>
        </w:tc>
        <w:tc>
          <w:tcPr>
            <w:tcW w:type="dxa" w:w="2880"/>
          </w:tcPr>
          <w:p>
            <w:r>
              <w:t>356</w:t>
            </w:r>
          </w:p>
        </w:tc>
      </w:tr>
      <w:tr>
        <w:tc>
          <w:tcPr>
            <w:tcW w:type="dxa" w:w="2880"/>
          </w:tcPr>
          <w:p>
            <w:r>
              <w:t>03_TRAIL_ONLY</w:t>
            </w:r>
          </w:p>
        </w:tc>
        <w:tc>
          <w:tcPr>
            <w:tcW w:type="dxa" w:w="2880"/>
          </w:tcPr>
          <w:p>
            <w:r>
              <w:t>SL + trailing, sem TP: deixa correr</w:t>
            </w:r>
          </w:p>
        </w:tc>
        <w:tc>
          <w:tcPr>
            <w:tcW w:type="dxa" w:w="2880"/>
          </w:tcPr>
          <w:p>
            <w:r>
              <w:t>356</w:t>
            </w:r>
          </w:p>
        </w:tc>
      </w:tr>
      <w:tr>
        <w:tc>
          <w:tcPr>
            <w:tcW w:type="dxa" w:w="2880"/>
          </w:tcPr>
          <w:p>
            <w:r>
              <w:t>04_SLTP_TRAIL</w:t>
            </w:r>
          </w:p>
        </w:tc>
        <w:tc>
          <w:tcPr>
            <w:tcW w:type="dxa" w:w="2880"/>
          </w:tcPr>
          <w:p>
            <w:r>
              <w:t>SL + TP + trailing atras</w:t>
            </w:r>
          </w:p>
        </w:tc>
        <w:tc>
          <w:tcPr>
            <w:tcW w:type="dxa" w:w="2880"/>
          </w:tcPr>
          <w:p>
            <w:r>
              <w:t>356</w:t>
            </w:r>
          </w:p>
        </w:tc>
      </w:tr>
      <w:tr>
        <w:tc>
          <w:tcPr>
            <w:tcW w:type="dxa" w:w="2880"/>
          </w:tcPr>
          <w:p>
            <w:r>
              <w:t>05_BE_TRAIL</w:t>
            </w:r>
          </w:p>
        </w:tc>
        <w:tc>
          <w:tcPr>
            <w:tcW w:type="dxa" w:w="2880"/>
          </w:tcPr>
          <w:p>
            <w:r>
              <w:t>Breakeven obrigatorio + trailing</w:t>
            </w:r>
          </w:p>
        </w:tc>
        <w:tc>
          <w:tcPr>
            <w:tcW w:type="dxa" w:w="2880"/>
          </w:tcPr>
          <w:p>
            <w:r>
              <w:t>356</w:t>
            </w:r>
          </w:p>
        </w:tc>
      </w:tr>
      <w:tr>
        <w:tc>
          <w:tcPr>
            <w:tcW w:type="dxa" w:w="2880"/>
          </w:tcPr>
          <w:p>
            <w:r>
              <w:t>06_REVERSAL_EXIT</w:t>
            </w:r>
          </w:p>
        </w:tc>
        <w:tc>
          <w:tcPr>
            <w:tcW w:type="dxa" w:w="2880"/>
          </w:tcPr>
          <w:p>
            <w:r>
              <w:t>Fecha no sinal contrario do indicador</w:t>
            </w:r>
          </w:p>
        </w:tc>
        <w:tc>
          <w:tcPr>
            <w:tcW w:type="dxa" w:w="2880"/>
          </w:tcPr>
          <w:p>
            <w:r>
              <w:t>356</w:t>
            </w:r>
          </w:p>
        </w:tc>
      </w:tr>
      <w:tr>
        <w:tc>
          <w:tcPr>
            <w:tcW w:type="dxa" w:w="2880"/>
          </w:tcPr>
          <w:p>
            <w:r>
              <w:t>07_GRID_SEPARATE</w:t>
            </w:r>
          </w:p>
        </w:tc>
        <w:tc>
          <w:tcPr>
            <w:tcW w:type="dxa" w:w="2880"/>
          </w:tcPr>
          <w:p>
            <w:r>
              <w:t>Grid com alvo por lado (conta hedging)</w:t>
            </w:r>
          </w:p>
        </w:tc>
        <w:tc>
          <w:tcPr>
            <w:tcW w:type="dxa" w:w="2880"/>
          </w:tcPr>
          <w:p>
            <w:r>
              <w:t>356</w:t>
            </w:r>
          </w:p>
        </w:tc>
      </w:tr>
      <w:tr>
        <w:tc>
          <w:tcPr>
            <w:tcW w:type="dxa" w:w="2880"/>
          </w:tcPr>
          <w:p>
            <w:r>
              <w:t>08_GRID_UNIFIED</w:t>
            </w:r>
          </w:p>
        </w:tc>
        <w:tc>
          <w:tcPr>
            <w:tcW w:type="dxa" w:w="2880"/>
          </w:tcPr>
          <w:p>
            <w:r>
              <w:t>Grid com alvo unico da cesta (conta hedging)</w:t>
            </w:r>
          </w:p>
        </w:tc>
        <w:tc>
          <w:tcPr>
            <w:tcW w:type="dxa" w:w="2880"/>
          </w:tcPr>
          <w:p>
            <w:r>
              <w:t>356</w:t>
            </w:r>
          </w:p>
        </w:tc>
      </w:tr>
      <w:tr>
        <w:tc>
          <w:tcPr>
            <w:tcW w:type="dxa" w:w="2880"/>
          </w:tcPr>
          <w:p>
            <w:r>
              <w:t>09_MARTINGALE</w:t>
            </w:r>
          </w:p>
        </w:tc>
        <w:tc>
          <w:tcPr>
            <w:tcW w:type="dxa" w:w="2880"/>
          </w:tcPr>
          <w:p>
            <w:r>
              <w:t>Lote dobra apos perda, 1 posicao por lado</w:t>
            </w:r>
          </w:p>
        </w:tc>
        <w:tc>
          <w:tcPr>
            <w:tcW w:type="dxa" w:w="2880"/>
          </w:tcPr>
          <w:p>
            <w:r>
              <w:t>356</w:t>
            </w:r>
          </w:p>
        </w:tc>
      </w:tr>
      <w:tr>
        <w:tc>
          <w:tcPr>
            <w:tcW w:type="dxa" w:w="2880"/>
          </w:tcPr>
          <w:p>
            <w:r>
              <w:t>10_DALEMBERT</w:t>
            </w:r>
          </w:p>
        </w:tc>
        <w:tc>
          <w:tcPr>
            <w:tcW w:type="dxa" w:w="2880"/>
          </w:tcPr>
          <w:p>
            <w:r>
              <w:t>Lote cresce em passo aritmetico apos perda</w:t>
            </w:r>
          </w:p>
        </w:tc>
        <w:tc>
          <w:tcPr>
            <w:tcW w:type="dxa" w:w="2880"/>
          </w:tcPr>
          <w:p>
            <w:r>
              <w:t>356</w:t>
            </w:r>
          </w:p>
        </w:tc>
      </w:tr>
      <w:tr>
        <w:tc>
          <w:tcPr>
            <w:tcW w:type="dxa" w:w="2880"/>
          </w:tcPr>
          <w:p>
            <w:r>
              <w:t>11_SIGNAL_ONLY</w:t>
            </w:r>
          </w:p>
        </w:tc>
        <w:tc>
          <w:tcPr>
            <w:tcW w:type="dxa" w:w="2880"/>
          </w:tcPr>
          <w:p>
            <w:r>
              <w:t>Sem SL e sem TP: mede o sinal cru</w:t>
            </w:r>
          </w:p>
        </w:tc>
        <w:tc>
          <w:tcPr>
            <w:tcW w:type="dxa" w:w="2880"/>
          </w:tcPr>
          <w:p>
            <w:r>
              <w:t>356</w:t>
            </w:r>
          </w:p>
        </w:tc>
      </w:tr>
    </w:tbl>
    <w:p>
      <w:pPr>
        <w:pStyle w:val="Heading2"/>
      </w:pPr>
      <w:r>
        <w:rPr>
          <w:color w:val="1E3A5F"/>
        </w:rPr>
        <w:t>Fluxo seguro</w:t>
      </w:r>
    </w:p>
    <w:p>
      <w:r>
        <w:t>Altere uma matriz por vez e retenha evidências completas para cada promoção.</w:t>
      </w:r>
    </w:p>
    <w:p>
      <w:pPr>
        <w:pStyle w:val="ListBullet"/>
      </w:pPr>
      <w:r>
        <w:t>Confirme que o EX5, a fonte auditada, o esquema dos sets e o manifesto pertencem à mesma versão.</w:t>
      </w:r>
    </w:p>
    <w:p>
      <w:pPr>
        <w:pStyle w:val="ListBullet"/>
      </w:pPr>
      <w:r>
        <w:t>Copie a biblioteca para MQL5\Profiles\Tester ou selecione-a diretamente ao carregar Inputs no Strategy Tester.</w:t>
      </w:r>
    </w:p>
    <w:p>
      <w:pPr>
        <w:pStyle w:val="ListBullet"/>
      </w:pPr>
      <w:r>
        <w:t>Mapeie o ativo ao símbolo exato do broker, incluindo sufixo, sessão, moeda de lucro e tamanho de contrato.</w:t>
      </w:r>
    </w:p>
    <w:p>
      <w:pPr>
        <w:pStyle w:val="ListBullet"/>
      </w:pPr>
      <w:r>
        <w:t>Navegue por classe e ativo: cada ativo traz os 11 tipos de sistema (01_SLTP a 11_SIGNAL_ONLY), um set por lado (BUY/SELL; BOTH no grid unificado) e duas variantes de entrada — MULTI disputa os indicadores 0–10 num eixo só e ICHIMOKU tem arquivo próprio.</w:t>
      </w:r>
    </w:p>
    <w:p>
      <w:pPr>
        <w:pStyle w:val="ListBullet"/>
      </w:pPr>
      <w:r>
        <w:t>A fase 1 é descoberta de regiões: rode o genético com o set como está — entradas completas (indicador, método, timeframe, applied price, períodos), saídas do sistema e chaves de filtro, tudo de uma vez.</w:t>
      </w:r>
    </w:p>
    <w:p>
      <w:pPr>
        <w:pStyle w:val="ListBullet"/>
      </w:pPr>
      <w:r>
        <w:t>Das rodadas seguintes em diante, trave (Y→N) os inputs de escrita — enums e booleanos — decididos na fase anterior e deixe abertos só os numéricos; o ajuste de cada filtro só entra se a chave sobreviveu ligada.</w:t>
      </w:r>
    </w:p>
    <w:p>
      <w:pPr>
        <w:pStyle w:val="ListBullet"/>
      </w:pPr>
      <w:r>
        <w:t>O filtro ATR de entrada (EntradaATR) existe apenas nos sistemas de grid; nos demais permanece desligado por construção.</w:t>
      </w:r>
    </w:p>
    <w:p>
      <w:pPr>
        <w:pStyle w:val="ListBullet"/>
      </w:pPr>
      <w:r>
        <w:t>Valide o vencedor em ticks reais: decidem a divergência contra o OHLC e a retenção out-of-sample, nunca o lucro in-sample.</w:t>
      </w:r>
    </w:p>
    <w:p>
      <w:pPr>
        <w:pStyle w:val="ListBullet"/>
      </w:pPr>
      <w:r>
        <w:t>Depois do tick real, troque o dimensionamento para Percentagem e rode de novo: só promova se passar também — e é nesse modo que o set deve operar.</w:t>
      </w:r>
    </w:p>
    <w:p>
      <w:pPr>
        <w:pStyle w:val="ListBullet"/>
      </w:pPr>
      <w:r>
        <w:t>Execute in-sample, out-of-sample e forward demo cronológicos, com custos e execução realistas.</w:t>
      </w:r>
    </w:p>
    <w:p>
      <w:pPr>
        <w:pStyle w:val="ListBullet"/>
      </w:pPr>
      <w:r>
        <w:t>Se usar notícias, gere WhiteRabbit_News.csv para todo o período e moedas antes de iniciar o tester.</w:t>
      </w:r>
    </w:p>
    <w:p>
      <w:pPr>
        <w:pStyle w:val="ListBullet"/>
      </w:pPr>
      <w:r>
        <w:t>Execute WhiteRabbit Filters SelfTest e só prossiga se a última linha informar zero falhas.</w:t>
      </w:r>
    </w:p>
    <w:p>
      <w:pPr>
        <w:pStyle w:val="ListBullet"/>
      </w:pPr>
      <w:r>
        <w:t>Consulte Status, RelativePath e SHA256 no manifesto antes de promover um resultado.</w:t>
      </w:r>
    </w:p>
    <w:p>
      <w:pPr>
        <w:pStyle w:val="ListBullet"/>
      </w:pPr>
      <w:r>
        <w:t>USE é autorização explícita para um ambiente definido; REOPTIMIZE, RESEARCH e HOLD não são presets prontos para conta real.</w:t>
      </w:r>
    </w:p>
    <w:p>
      <w:pPr>
        <w:pStyle w:val="Heading2"/>
      </w:pPr>
      <w:r>
        <w:rPr>
          <w:color w:val="1E3A5F"/>
        </w:rPr>
        <w:t>Telemetria do dashboard de ciclos</w:t>
      </w:r>
    </w:p>
    <w:p>
      <w:r>
        <w:t>O painel usa os mesmos snapshots de estado empregados pelo loteamento e pelo fechamento das cestas.</w:t>
      </w:r>
    </w:p>
    <w:p>
      <w:pPr>
        <w:pStyle w:val="ListBullet"/>
      </w:pPr>
      <w:r>
        <w:t>A atualização periódica por tick é limitada a uma vez por segundo; inicialização e eventos de negociação podem solicitar atualização imediata.</w:t>
      </w:r>
    </w:p>
    <w:p>
      <w:pPr>
        <w:pStyle w:val="ListBullet"/>
      </w:pPr>
      <w:r>
        <w:t>Balance e Equity são da conta inteira. P&amp;L fechado é a variação desde OnInit e P&amp;L aberto/posições são o estado atual; estes últimos indicadores são filtrados por Symbol + Magic.</w:t>
      </w:r>
    </w:p>
    <w:p>
      <w:pPr>
        <w:pStyle w:val="ListBullet"/>
      </w:pPr>
      <w:r>
        <w:t>Martingale mostra, separadamente para BUY e SELL, perdas consecutivas, quantidade e valor bruto das perdas do ciclo, valor recuperado, déficit restante e alvo igual ao déficit × Multiplicador.</w:t>
      </w:r>
    </w:p>
    <w:p>
      <w:pPr>
        <w:pStyle w:val="ListBullet"/>
      </w:pPr>
      <w:r>
        <w:t>Ao exceder MaxMartingaleSteps, o ciclo Martingale sofre hard reset: o déficit antigo é descartado e a próxima ordem usa lote-base. Martingale exige no máximo uma posição aberta por lado.</w:t>
      </w:r>
    </w:p>
    <w:p>
      <w:pPr>
        <w:pStyle w:val="ListBullet"/>
      </w:pPr>
      <w:r>
        <w:t>D'Alembert mostra o nível atual e o próximo lote normalizado de BUY e SELL.</w:t>
      </w:r>
    </w:p>
    <w:p>
      <w:pPr>
        <w:pStyle w:val="ListBullet"/>
      </w:pPr>
      <w:r>
        <w:t>Grid mostra pernas e volume, realizado já incluindo custos, P&amp;L aberto, P&amp;L total do ciclo, alvo monetário congelado no início e valor que falta.</w:t>
      </w:r>
    </w:p>
    <w:p>
      <w:pPr>
        <w:pStyle w:val="ListBullet"/>
      </w:pPr>
      <w:r>
        <w:t>A âncora Grid é a posição confirmada mais recente. BUY só dispara estritamente abaixo de âncora − ATR × DistanciaMinima; SELL, estritamente acima de âncora + ATR × DistanciaMinima. O progresso mostra distância adversa em ATR versus o limite.</w:t>
      </w:r>
    </w:p>
    <w:p>
      <w:pPr>
        <w:pStyle w:val="ListBullet"/>
      </w:pPr>
      <w:r>
        <w:t>Em Separate, ficar flat encerra apenas o ciclo daquele lado; em Unified, o ciclo termina quando BUY e SELL ficam flat. Ordens ainda em trânsito adiam o reset.</w:t>
      </w:r>
    </w:p>
    <w:p>
      <w:pPr>
        <w:pStyle w:val="ListBullet"/>
      </w:pPr>
      <w:r>
        <w:t>O alvo é o gatilho para solicitar o fechamento. Comissão, fee e slippage efetivos da saída podem deixar o resultado final ligeiramente abaixo dele.</w:t>
      </w:r>
    </w:p>
    <w:p>
      <w:pPr>
        <w:pStyle w:val="ListBullet"/>
      </w:pPr>
      <w:r>
        <w:t>InterfaceLanguage preserva 11 idiomas. Auto usa inglês no Tester e o idioma do terminal ao vivo; rótulos sem tradução específica têm fallback para inglês.</w:t>
      </w:r>
    </w:p>
    <w:p>
      <w:pPr>
        <w:pStyle w:val="Heading2"/>
      </w:pPr>
      <w:r>
        <w:rPr>
          <w:color w:val="1E3A5F"/>
        </w:rPr>
        <w:t>Combinações suportadas e restrições</w:t>
      </w:r>
    </w:p>
    <w:p>
      <w:r>
        <w:t>Estas são regras operacionais conservadoras da arquitetura atual. O broker pode impor limites mais rígidos e um backtest positivo não corrige um modo de conta incompatível.</w:t>
      </w:r>
    </w:p>
    <w:p>
      <w:pPr>
        <w:pStyle w:val="ListBullet"/>
      </w:pPr>
      <w:r>
        <w:t>PositionSize_Percentage e PositionSize_FixedR exigem AtivarStop=true e um stop calculável.</w:t>
      </w:r>
    </w:p>
    <w:p>
      <w:pPr>
        <w:pStyle w:val="ListBullet"/>
      </w:pPr>
      <w:r>
        <w:t>Grid aceita somente PositionSize_Monetary ou PositionSize_FixedLot, Recovery_None e conta hedge real.</w:t>
      </w:r>
    </w:p>
    <w:p>
      <w:pPr>
        <w:pStyle w:val="ListBullet"/>
      </w:pPr>
      <w:r>
        <w:t>Grid exige AtivarTake=true, DistanciaMinima&gt;0 e limite ativo igual a zero ou pelo menos duas posições.</w:t>
      </w:r>
    </w:p>
    <w:p>
      <w:pPr>
        <w:pStyle w:val="ListBullet"/>
      </w:pPr>
      <w:r>
        <w:t>Grid_SeparateProfit gerencia cada lado; Grid_UnifiedProfit gerencia o resultado agregado do ciclo.</w:t>
      </w:r>
    </w:p>
    <w:p>
      <w:pPr>
        <w:pStyle w:val="ListBullet"/>
      </w:pPr>
      <w:r>
        <w:t>Enquanto a cesta continuar aberta, perdas realizadas, swap, comissão e taxas do ciclo permanecem incorporados ao resultado necessário para alcançar o alvo; o lucro isolado de uma perna não apaga esses custos.</w:t>
      </w:r>
    </w:p>
    <w:p>
      <w:pPr>
        <w:pStyle w:val="ListBullet"/>
      </w:pPr>
      <w:r>
        <w:t>Em Grid_SeparateProfit, BUY e SELL têm ciclos independentes. Se todas as posições de um lado desaparecerem, o ciclo daquele lado termina; uma entrada futura inicia um novo ciclo, sem transportar o déficit encerrado.</w:t>
      </w:r>
    </w:p>
    <w:p>
      <w:pPr>
        <w:pStyle w:val="ListBullet"/>
      </w:pPr>
      <w:r>
        <w:t>Recovery_DAlembert é exclusivo de Fixed Lot, Grid_Disabled e DAlembertStep&gt;0.</w:t>
      </w:r>
    </w:p>
    <w:p>
      <w:pPr>
        <w:pStyle w:val="ListBullet"/>
      </w:pPr>
      <w:r>
        <w:t>Recovery_Martingale respeita MaxMartingaleSteps e MaxMartingaleLot; zero significa sem teto adicional.</w:t>
      </w:r>
    </w:p>
    <w:p>
      <w:pPr>
        <w:pStyle w:val="ListBullet"/>
      </w:pPr>
      <w:r>
        <w:t>ReversalExit_OnOppositeOrder exige conta hedge, Hedging=true, BUY e SELL habilitados e grid desligado.</w:t>
      </w:r>
    </w:p>
    <w:p>
      <w:pPr>
        <w:pStyle w:val="ListBullet"/>
      </w:pPr>
      <w:r>
        <w:t>O backtest com notícias requer NewsCSVFile em Common\Files; NewsMoedasManual tem precedência sobre detecção automática.</w:t>
      </w:r>
    </w:p>
    <w:p>
      <w:pPr>
        <w:pStyle w:val="ListBullet"/>
      </w:pPr>
      <w:r>
        <w:t>Horários usam o servidor do broker; intervalos noturnos e dias de fim de semana devem ser testados explicitamente.</w:t>
      </w:r>
    </w:p>
    <w:p>
      <w:pPr>
        <w:pStyle w:val="ListBullet"/>
      </w:pPr>
      <w:r>
        <w:t>Símbolo, sufixo, tamanho de contrato, tick value, volume mínimo e custos devem ser revalidados por broker.</w:t>
      </w:r>
    </w:p>
    <w:p>
      <w:pPr>
        <w:pStyle w:val="Heading2"/>
      </w:pPr>
      <w:r>
        <w:rPr>
          <w:color w:val="1E3A5F"/>
        </w:rPr>
        <w:t>Filtro de notícias e fluxo do CSV</w:t>
      </w:r>
    </w:p>
    <w:p>
      <w:r>
        <w:t>No mercado ao vivo, a EA consulta o Calendário Econômico do MT5 no horário do servidor e bloqueia novas entradas se a consulta falhar. O tester não acessa esse calendário: execute MQL5\Scripts\White Rabbit News Exporter em um gráfico de conta real/demo, cubra todo o período do teste e grave NewsCSVFile em Common\Files. O cabeçalho separado por ponto e vírgula é datetime;currency;importance;event_name; importância 2 é moderada e 3 é alta. Use o mesmo broker/fuso do servidor. Em símbolos com sufixo ou não-FX, informe ExportMoedas e NewsMoedasManual; as moedas manuais têm prioridade.</w:t>
      </w:r>
    </w:p>
    <w:p>
      <w:pPr>
        <w:pStyle w:val="Heading2"/>
      </w:pPr>
      <w:r>
        <w:rPr>
          <w:color w:val="1E3A5F"/>
        </w:rPr>
        <w:t>Ciclo do grid e espaçamento por ATR</w:t>
      </w:r>
    </w:p>
    <w:p>
      <w:r>
        <w:t>Cada perna adicional mede a distância a partir da posição confirmada mais recente do mesmo lado e exige ATR × DistanciaMinima. A ordem inicial não pode disparar outra recursivamente no mesmo cálculo; no ciclo seguinte ela já é a âncora. O grid não usa TPs individuais: Separate avalia ciclos BUY/SELL independentes contra alvos congelados e encerra um lado quando ele fica flat; Unified avalia a cesta BUY+SELL agregada e termina quando ambos ficam flat. Comissões, swap, taxas e pernas já estopadas continuam no resultado enquanto o ciclo correspondente permanece aberto. O alvo dispara a solicitação de fechamento; custos reais e slippage da saída podem deixar o resultado final ligeiramente abaixo dele. No mercado ao vivo, o estado é preservado ao reiniciar a EA. Grid exige conta hedge real e nova otimização após mudança de EA, contrato ou custos.</w:t>
      </w:r>
    </w:p>
    <w:p>
      <w:pPr>
        <w:pStyle w:val="Heading2"/>
      </w:pPr>
      <w:r>
        <w:rPr>
          <w:color w:val="1E3A5F"/>
        </w:rPr>
        <w:t>Diagnóstico e utilitários fornecidos</w:t>
      </w:r>
    </w:p>
    <w:p>
      <w:r>
        <w:t>As abas Experts/Diário são a referência para inputs rejeitados, falhas de OrderCheck, indisponibilidade do calendário e tentativas de fechamento. Compile e execute MQL5\Scripts\WhiteRabbit Filters SelfTest; a última linha deve indicar zero falhas. Use White Rabbit News Exporter para criar o CSV e confirme período, moedas, delimitador e pasta Common\Files antes de um backtest com notícias.</w:t>
      </w:r>
    </w:p>
    <w:p>
      <w:pPr>
        <w:pStyle w:val="Heading2"/>
      </w:pPr>
      <w:r>
        <w:rPr>
          <w:color w:val="1E3A5F"/>
        </w:rPr>
        <w:t>Aviso de risco</w:t>
      </w:r>
    </w:p>
    <w:p>
      <w:r>
        <w:t>Nenhuma EA, set, indicador, otimização ou resultado histórico garante desempenho futuro. Valide símbolo, custos, execução, amostra fora do período e forward demo antes de assumir risco.</w:t>
      </w:r>
    </w:p>
    <w:p>
      <w:pPr>
        <w:jc w:val="center"/>
      </w:pPr>
      <w:r>
        <w:t>____________________________________________________________</w:t>
      </w:r>
    </w:p>
    <w:p>
      <w:r>
        <w:t>EA SHA-256: D85A30A0836A9BE75F6DFC55868BDC664EE1FC7F5DD0840C029DEB0EF8AC8973 EA version: 1.12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egoe UI" w:hAnsi="Segoe U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