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WFO Optimization Guide</w:t>
      </w:r>
    </w:p>
    <w:p>
      <w:r>
        <w:t>Authoritative reference generated from the current EA source and set manifest — EA 1.11 — 127 inputs — 3738 sets</w:t>
      </w:r>
    </w:p>
    <w:p>
      <w:r>
        <w:t>Mind the date. With WFO enabled, OnTester compares the real end of the test against input_end_date and returns zero if the test ended earlier (80-hour tolerance). A wrong date zeroes every pass and the whole optimization looks broken. Set input_end_date to the same end date configured in the Strategy Tester.</w:t>
      </w:r>
    </w:p>
    <w:p>
      <w:pPr>
        <w:pStyle w:val="Heading2"/>
      </w:pPr>
      <w:r>
        <w:rPr>
          <w:color w:val="1E3A5F"/>
        </w:rPr>
        <w:t>Scope and source of truth</w:t>
      </w:r>
    </w:p>
    <w:p>
      <w:r>
        <w:t>The EA source defines the input schema, defaults, enumerations and current feature surface. The set manifest defines every preset, family, status, path and integrity hash. Older Quantum material is historical only and must not be used to operate the current release.</w:t>
      </w:r>
    </w:p>
    <w:p>
      <w:r>
        <w:t>EA SHA-256: D85A30A0836A9BE75F6DFC55868BDC664EE1FC7F5DD0840C029DEB0EF8AC8973. Manifest SHA-256: E96B9E4050F8EA8B764E187BD6CC1E907AE2AE8C4A6489C9EF2D3317C6003F75.</w:t>
      </w:r>
    </w:p>
    <w:p>
      <w:r>
        <w:t>Generated material. Parameter identifiers remain exactly as declared by the EA.</w:t>
      </w:r>
    </w:p>
    <w:p>
      <w:pPr>
        <w:pStyle w:val="Heading2"/>
      </w:pPr>
      <w:r>
        <w:rPr>
          <w:color w:val="1E3A5F"/>
        </w:rPr>
        <w:t>Walk-forward method</w:t>
      </w:r>
    </w:p>
    <w:p>
      <w:r>
        <w:t>Use chronological in-sample, out-of-sample and forward-demo segments. Keep spreads, commissions, swaps and slippage realistic. Reject unstable parameter islands and any result that depends on one trade, one market regime or a broker-specific artifact. With a Custom step, a positive wfo_customStepSizePercent is a percentage of the in-sample window; a negative value such as -61 means a fixed 61-day out-of-sample step.</w:t>
      </w:r>
    </w:p>
    <w:p>
      <w:pPr>
        <w:pStyle w:val="Heading2"/>
      </w:pPr>
      <w:r>
        <w:rPr>
          <w:color w:val="1E3A5F"/>
        </w:rPr>
        <w:t>Safe workflow</w:t>
      </w:r>
    </w:p>
    <w:p>
      <w:r>
        <w:t>Change one matrix at a time and retain complete evidence for each promotion decision.</w:t>
      </w:r>
    </w:p>
    <w:p>
      <w:pPr>
        <w:pStyle w:val="ListBullet"/>
      </w:pPr>
      <w:r>
        <w:t>Confirm that the EX5, audited source, set schema and manifest belong to the same release.</w:t>
      </w:r>
    </w:p>
    <w:p>
      <w:pPr>
        <w:pStyle w:val="ListBullet"/>
      </w:pPr>
      <w:r>
        <w:t>Copy the library to MQL5\Profiles\Tester or select it when loading Strategy Tester Inputs.</w:t>
      </w:r>
    </w:p>
    <w:p>
      <w:pPr>
        <w:pStyle w:val="ListBullet"/>
      </w:pPr>
      <w:r>
        <w:t>Map each asset to the broker's exact symbol, suffix, session, profit currency and contract size.</w:t>
      </w:r>
    </w:p>
    <w:p>
      <w:pPr>
        <w:pStyle w:val="ListBullet"/>
      </w:pPr>
      <w:r>
        <w:t>Browse by class and asset: each asset carries the 11 system types (01_SLTP to 11_SIGNAL_ONLY), one set per side (BUY/SELL; BOTH for the unified grid) and two entry variants — MULTI contests indicators 0–10 on a single axis, ICHIMOKU has its own file.</w:t>
      </w:r>
    </w:p>
    <w:p>
      <w:pPr>
        <w:pStyle w:val="ListBullet"/>
      </w:pPr>
      <w:r>
        <w:t>Phase 1 is region discovery: run the genetic optimizer on the set as shipped — the full entry group (indicator, method, timeframe, applied price, periods), the system's exits and the filter switches, all at once.</w:t>
      </w:r>
    </w:p>
    <w:p>
      <w:pPr>
        <w:pStyle w:val="ListBullet"/>
      </w:pPr>
      <w:r>
        <w:t>From the following rounds on, lock (Y→N) the written inputs — enums and booleans — decided by the previous phase and keep only the numeric ones open; each filter's tuning only enters if its switch survived enabled.</w:t>
      </w:r>
    </w:p>
    <w:p>
      <w:pPr>
        <w:pStyle w:val="ListBullet"/>
      </w:pPr>
      <w:r>
        <w:t>The ATR entry filter (EntradaATR) exists only in the grid systems; everywhere else it stays off by design.</w:t>
      </w:r>
    </w:p>
    <w:p>
      <w:pPr>
        <w:pStyle w:val="ListBullet"/>
      </w:pPr>
      <w:r>
        <w:t>Validate the winner on real ticks: the divergence against OHLC and the out-of-sample retention decide, never in-sample profit.</w:t>
      </w:r>
    </w:p>
    <w:p>
      <w:pPr>
        <w:pStyle w:val="ListBullet"/>
      </w:pPr>
      <w:r>
        <w:t>After the real-tick pass, switch position sizing to Percentage and run again: only promote if it passes too — and that is the mode the set should trade in.</w:t>
      </w:r>
    </w:p>
    <w:p>
      <w:pPr>
        <w:pStyle w:val="ListBullet"/>
      </w:pPr>
      <w:r>
        <w:t>Run chronological in-sample, out-of-sample and forward-demo phases with realistic costs.</w:t>
      </w:r>
    </w:p>
    <w:p>
      <w:pPr>
        <w:pStyle w:val="ListBullet"/>
      </w:pPr>
      <w:r>
        <w:t>For news tests, generate WhiteRabbit_News.csv for the full date range and every required currency.</w:t>
      </w:r>
    </w:p>
    <w:p>
      <w:pPr>
        <w:pStyle w:val="ListBullet"/>
      </w:pPr>
      <w:r>
        <w:t>Run WhiteRabbit Filters SelfTest and proceed only when its final line reports zero failures.</w:t>
      </w:r>
    </w:p>
    <w:p>
      <w:pPr>
        <w:pStyle w:val="ListBullet"/>
      </w:pPr>
      <w:r>
        <w:t>Check Status, RelativePath and SHA256 in the manifest before promoting a result.</w:t>
      </w:r>
    </w:p>
    <w:p>
      <w:pPr>
        <w:pStyle w:val="ListBullet"/>
      </w:pPr>
      <w:r>
        <w:t>USE is explicit authorization for a defined environment; REOPTIMIZE, RESEARCH and HOLD are not live presets.</w:t>
      </w:r>
    </w:p>
    <w:p>
      <w:pPr>
        <w:pStyle w:val="Heading2"/>
      </w:pPr>
      <w:r>
        <w:rPr>
          <w:color w:val="1E3A5F"/>
        </w:rPr>
        <w:t>Manifest statuses and release disposition</w:t>
      </w:r>
    </w:p>
    <w:p>
      <w:r>
        <w:t>The exact manifest status is preserved. For a conservative release decision it is also mapped to USE, REOPTIMIZE, RESEARCH or HOLD. Only an explicit USE status is treated as ready for the defined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Management</w:t>
            </w:r>
          </w:p>
        </w:tc>
        <w:tc>
          <w:tcPr>
            <w:tcW w:type="dxa" w:w="2880"/>
          </w:tcPr>
          <w:p>
            <w:r>
              <w:t>Sets</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r>
        <w:t>That is why the circuit only saves an approved set after repeating the final pass in Percentage mode: if the result does not hold under compounding, it was not ready — and the validated set ships in that mode.</w:t>
      </w:r>
    </w:p>
    <w:p>
      <w:pPr>
        <w:pStyle w:val="Heading2"/>
      </w:pPr>
      <w:r>
        <w:rPr>
          <w:color w:val="1E3A5F"/>
        </w:rPr>
        <w:t>Risk warning</w:t>
      </w:r>
    </w:p>
    <w:p>
      <w:r>
        <w:t>No EA, preset, indicator, optimization or historical result guarantees future performance. Validate symbol mapping, costs, execution, out-of-sample data and forward demo behavior before assuming financial risk.</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