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Set Ecosystem Tutorial</w:t>
      </w:r>
    </w:p>
    <w:p>
      <w:r>
        <w:t>Authoritative reference generated from the current EA source and set manifest — EA 1.11 — 127 inputs — 3738 sets</w:t>
      </w:r>
    </w:p>
    <w:p>
      <w:pPr>
        <w:pStyle w:val="Heading2"/>
      </w:pPr>
      <w:r>
        <w:rPr>
          <w:color w:val="1E3A5F"/>
        </w:rPr>
        <w:t>Scope and source of truth</w:t>
      </w:r>
    </w:p>
    <w:p>
      <w:r>
        <w:t>The EA source defines the input schema, defaults, enumerations and current feature surface. The set manifest defines every preset, family, status, path and integrity hash. Older Quantum material is historical only and must not be used to operate the current release.</w:t>
      </w:r>
    </w:p>
    <w:p>
      <w:r>
        <w:t>EA SHA-256: D85A30A0836A9BE75F6DFC55868BDC664EE1FC7F5DD0840C029DEB0EF8AC8973. Manifest SHA-256: E96B9E4050F8EA8B764E187BD6CC1E907AE2AE8C4A6489C9EF2D3317C6003F75.</w:t>
      </w:r>
    </w:p>
    <w:p>
      <w:r>
        <w:t>Generated material. Parameter identifiers remain exactly as declared by the EA.</w:t>
      </w:r>
    </w:p>
    <w:p>
      <w:pPr>
        <w:pStyle w:val="Heading2"/>
      </w:pPr>
      <w:r>
        <w:rPr>
          <w:color w:val="1E3A5F"/>
        </w:rPr>
        <w:t>Installation and first run</w:t>
      </w:r>
    </w:p>
    <w:p>
      <w:r>
        <w:t>Compile or install the matching EX5, copy presets into the terminal Tester profile, select the correct broker symbol, load one set in Strategy Tester Inputs and verify every validation message.</w:t>
      </w:r>
    </w:p>
    <w:p>
      <w:pPr>
        <w:pStyle w:val="Heading2"/>
      </w:pPr>
      <w:r>
        <w:rPr>
          <w:color w:val="1E3A5F"/>
        </w:rPr>
        <w:t>Discovered set library</w:t>
      </w:r>
    </w:p>
    <w:p>
      <w:r>
        <w:t>Every .set file is a research or optimization hypothesis. Counts below come from the current filesystem and manifest; they are not embedded in this document template. Counts and fingerprints were read at generation time.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Folder</w:t>
            </w:r>
          </w:p>
        </w:tc>
        <w:tc>
          <w:tcPr>
            <w:tcW w:type="dxa" w:w="2880"/>
          </w:tcPr>
          <w:p>
            <w:r>
              <w:t>Sets</w:t>
            </w:r>
          </w:p>
        </w:tc>
        <w:tc>
          <w:tcPr>
            <w:tcW w:type="dxa" w:w="2880"/>
          </w:tcPr>
          <w:p>
            <w:r>
              <w:t>Purpose</w:t>
            </w:r>
          </w:p>
        </w:tc>
      </w:tr>
      <w:tr>
        <w:tc>
          <w:tcPr>
            <w:tcW w:type="dxa" w:w="2880"/>
          </w:tcPr>
          <w:p>
            <w:r>
              <w:t>01_Forex</w:t>
            </w:r>
          </w:p>
        </w:tc>
        <w:tc>
          <w:tcPr>
            <w:tcW w:type="dxa" w:w="2880"/>
          </w:tcPr>
          <w:p>
            <w:r>
              <w:t>168</w:t>
            </w:r>
          </w:p>
        </w:tc>
        <w:tc>
          <w:tcPr>
            <w:tcW w:type="dxa" w:w="2880"/>
          </w:tcPr>
          <w:p>
            <w:r>
              <w:t>Per-asset baselines — Forex.</w:t>
            </w:r>
          </w:p>
        </w:tc>
      </w:tr>
      <w:tr>
        <w:tc>
          <w:tcPr>
            <w:tcW w:type="dxa" w:w="2880"/>
          </w:tcPr>
          <w:p>
            <w:r>
              <w:t>02_Metals</w:t>
            </w:r>
          </w:p>
        </w:tc>
        <w:tc>
          <w:tcPr>
            <w:tcW w:type="dxa" w:w="2880"/>
          </w:tcPr>
          <w:p>
            <w:r>
              <w:t>18</w:t>
            </w:r>
          </w:p>
        </w:tc>
        <w:tc>
          <w:tcPr>
            <w:tcW w:type="dxa" w:w="2880"/>
          </w:tcPr>
          <w:p>
            <w:r>
              <w:t>Per-asset baselines — Metals.</w:t>
            </w:r>
          </w:p>
        </w:tc>
      </w:tr>
      <w:tr>
        <w:tc>
          <w:tcPr>
            <w:tcW w:type="dxa" w:w="2880"/>
          </w:tcPr>
          <w:p>
            <w:r>
              <w:t>03_Cryptocurrencies</w:t>
            </w:r>
          </w:p>
        </w:tc>
        <w:tc>
          <w:tcPr>
            <w:tcW w:type="dxa" w:w="2880"/>
          </w:tcPr>
          <w:p>
            <w:r>
              <w:t>36</w:t>
            </w:r>
          </w:p>
        </w:tc>
        <w:tc>
          <w:tcPr>
            <w:tcW w:type="dxa" w:w="2880"/>
          </w:tcPr>
          <w:p>
            <w:r>
              <w:t>Per-asset baselines — Cryptocurrencies.</w:t>
            </w:r>
          </w:p>
        </w:tc>
      </w:tr>
      <w:tr>
        <w:tc>
          <w:tcPr>
            <w:tcW w:type="dxa" w:w="2880"/>
          </w:tcPr>
          <w:p>
            <w:r>
              <w:t>04_Indices_Energies</w:t>
            </w:r>
          </w:p>
        </w:tc>
        <w:tc>
          <w:tcPr>
            <w:tcW w:type="dxa" w:w="2880"/>
          </w:tcPr>
          <w:p>
            <w:r>
              <w:t>42</w:t>
            </w:r>
          </w:p>
        </w:tc>
        <w:tc>
          <w:tcPr>
            <w:tcW w:type="dxa" w:w="2880"/>
          </w:tcPr>
          <w:p>
            <w:r>
              <w:t>Per-asset baselines — Indices Energies.</w:t>
            </w:r>
          </w:p>
        </w:tc>
      </w:tr>
      <w:tr>
        <w:tc>
          <w:tcPr>
            <w:tcW w:type="dxa" w:w="2880"/>
          </w:tcPr>
          <w:p>
            <w:r>
              <w:t>05_US_Stocks_CFD</w:t>
            </w:r>
          </w:p>
        </w:tc>
        <w:tc>
          <w:tcPr>
            <w:tcW w:type="dxa" w:w="2880"/>
          </w:tcPr>
          <w:p>
            <w:r>
              <w:t>300</w:t>
            </w:r>
          </w:p>
        </w:tc>
        <w:tc>
          <w:tcPr>
            <w:tcW w:type="dxa" w:w="2880"/>
          </w:tcPr>
          <w:p>
            <w:r>
              <w:t>Per-asset baselines — US Stocks CFD.</w:t>
            </w:r>
          </w:p>
        </w:tc>
      </w:tr>
      <w:tr>
        <w:tc>
          <w:tcPr>
            <w:tcW w:type="dxa" w:w="2880"/>
          </w:tcPr>
          <w:p>
            <w:r>
              <w:t>06_Research_Matrix</w:t>
            </w:r>
          </w:p>
        </w:tc>
        <w:tc>
          <w:tcPr>
            <w:tcW w:type="dxa" w:w="2880"/>
          </w:tcPr>
          <w:p>
            <w:r>
              <w:t>935</w:t>
            </w:r>
          </w:p>
        </w:tc>
        <w:tc>
          <w:tcPr>
            <w:tcW w:type="dxa" w:w="2880"/>
          </w:tcPr>
          <w:p>
            <w:r>
              <w:t>Controlled one-axis research.</w:t>
            </w:r>
          </w:p>
        </w:tc>
      </w:tr>
      <w:tr>
        <w:tc>
          <w:tcPr>
            <w:tcW w:type="dxa" w:w="2880"/>
          </w:tcPr>
          <w:p>
            <w:r>
              <w:t>07_Entry_System_Matrix</w:t>
            </w:r>
          </w:p>
        </w:tc>
        <w:tc>
          <w:tcPr>
            <w:tcW w:type="dxa" w:w="2880"/>
          </w:tcPr>
          <w:p>
            <w:r>
              <w:t>3360</w:t>
            </w:r>
          </w:p>
        </w:tc>
        <w:tc>
          <w:tcPr>
            <w:tcW w:type="dxa" w:w="2880"/>
          </w:tcPr>
          <w:p>
            <w:r>
              <w:t>Indicator × entry method × management matrix.</w:t>
            </w:r>
          </w:p>
        </w:tc>
      </w:tr>
      <w:tr>
        <w:tc>
          <w:tcPr>
            <w:tcW w:type="dxa" w:w="2880"/>
          </w:tcPr>
          <w:p>
            <w:r>
              <w:t>08_Filter_Stack_Matrix</w:t>
            </w:r>
          </w:p>
        </w:tc>
        <w:tc>
          <w:tcPr>
            <w:tcW w:type="dxa" w:w="2880"/>
          </w:tcPr>
          <w:p>
            <w:r>
              <w:t>320</w:t>
            </w:r>
          </w:p>
        </w:tc>
        <w:tc>
          <w:tcPr>
            <w:tcW w:type="dxa" w:w="2880"/>
          </w:tcPr>
          <w:p>
            <w:r>
              <w:t>Signal-filter stack combinations.</w:t>
            </w:r>
          </w:p>
        </w:tc>
      </w:tr>
      <w:tr>
        <w:tc>
          <w:tcPr>
            <w:tcW w:type="dxa" w:w="2880"/>
          </w:tcPr>
          <w:p>
            <w:r>
              <w:t>09_Risk_Engine_Matrix</w:t>
            </w:r>
          </w:p>
        </w:tc>
        <w:tc>
          <w:tcPr>
            <w:tcW w:type="dxa" w:w="2880"/>
          </w:tcPr>
          <w:p>
            <w:r>
              <w:t>130</w:t>
            </w:r>
          </w:p>
        </w:tc>
        <w:tc>
          <w:tcPr>
            <w:tcW w:type="dxa" w:w="2880"/>
          </w:tcPr>
          <w:p>
            <w:r>
              <w:t>Compatible sizing, risk and recovery models.</w:t>
            </w:r>
          </w:p>
        </w:tc>
      </w:tr>
      <w:tr>
        <w:tc>
          <w:tcPr>
            <w:tcW w:type="dxa" w:w="2880"/>
          </w:tcPr>
          <w:p>
            <w:r>
              <w:t>10_Exit_Stack_Matrix</w:t>
            </w:r>
          </w:p>
        </w:tc>
        <w:tc>
          <w:tcPr>
            <w:tcW w:type="dxa" w:w="2880"/>
          </w:tcPr>
          <w:p>
            <w:r>
              <w:t>720</w:t>
            </w:r>
          </w:p>
        </w:tc>
        <w:tc>
          <w:tcPr>
            <w:tcW w:type="dxa" w:w="2880"/>
          </w:tcPr>
          <w:p>
            <w:r>
              <w:t>Exit-control stack combinations.</w:t>
            </w:r>
          </w:p>
        </w:tc>
      </w:tr>
    </w:tbl>
    <w:p>
      <w:pPr>
        <w:pStyle w:val="Heading2"/>
      </w:pPr>
      <w:r>
        <w:rPr>
          <w:color w:val="1E3A5F"/>
        </w:rPr>
        <w:t>Manifest statuses and release disposition</w:t>
      </w:r>
    </w:p>
    <w:p>
      <w:r>
        <w:t>The exact manifest status is preserved. For a conservative release decision it is also mapped to USE, REOPTIMIZE, RESEARCH or HOLD. Only an explicit USE status is treated as ready for the defined environment.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System</w:t>
            </w:r>
          </w:p>
        </w:tc>
        <w:tc>
          <w:tcPr>
            <w:tcW w:type="dxa" w:w="2880"/>
          </w:tcPr>
          <w:p>
            <w:r>
              <w:t>Management</w:t>
            </w:r>
          </w:p>
        </w:tc>
        <w:tc>
          <w:tcPr>
            <w:tcW w:type="dxa" w:w="2880"/>
          </w:tcPr>
          <w:p>
            <w:r>
              <w:t>Sets</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pStyle w:val="Heading2"/>
      </w:pPr>
      <w:r>
        <w:rPr>
          <w:color w:val="1E3A5F"/>
        </w:rPr>
        <w:t>Safe workflow</w:t>
      </w:r>
    </w:p>
    <w:p>
      <w:r>
        <w:t>Change one matrix at a time and retain complete evidence for each promotion decision.</w:t>
      </w:r>
    </w:p>
    <w:p>
      <w:pPr>
        <w:pStyle w:val="ListBullet"/>
      </w:pPr>
      <w:r>
        <w:t>Confirm that the EX5, audited source, set schema and manifest belong to the same release.</w:t>
      </w:r>
    </w:p>
    <w:p>
      <w:pPr>
        <w:pStyle w:val="ListBullet"/>
      </w:pPr>
      <w:r>
        <w:t>Copy the library to MQL5\Profiles\Tester or select it when loading Strategy Tester Inputs.</w:t>
      </w:r>
    </w:p>
    <w:p>
      <w:pPr>
        <w:pStyle w:val="ListBullet"/>
      </w:pPr>
      <w:r>
        <w:t>Map each asset to the broker's exact symbol, suffix, session, profit currency and contract size.</w:t>
      </w:r>
    </w:p>
    <w:p>
      <w:pPr>
        <w:pStyle w:val="ListBullet"/>
      </w:pPr>
      <w:r>
        <w:t>Browse by class and asset: each asset carries the 11 system types (01_SLTP to 11_SIGNAL_ONLY), one set per side (BUY/SELL; BOTH for the unified grid) and two entry variants — MULTI contests indicators 0–10 on a single axis, ICHIMOKU has its own file.</w:t>
      </w:r>
    </w:p>
    <w:p>
      <w:pPr>
        <w:pStyle w:val="ListBullet"/>
      </w:pPr>
      <w:r>
        <w:t>Phase 1 is region discovery: run the genetic optimizer on the set as shipped — the full entry group (indicator, method, timeframe, applied price, periods), the system's exits and the filter switches, all at once.</w:t>
      </w:r>
    </w:p>
    <w:p>
      <w:pPr>
        <w:pStyle w:val="ListBullet"/>
      </w:pPr>
      <w:r>
        <w:t>From the following rounds on, lock (Y→N) the written inputs — enums and booleans — decided by the previous phase and keep only the numeric ones open; each filter's tuning only enters if its switch survived enabled.</w:t>
      </w:r>
    </w:p>
    <w:p>
      <w:pPr>
        <w:pStyle w:val="ListBullet"/>
      </w:pPr>
      <w:r>
        <w:t>The ATR entry filter (EntradaATR) exists only in the grid systems; everywhere else it stays off by design.</w:t>
      </w:r>
    </w:p>
    <w:p>
      <w:pPr>
        <w:pStyle w:val="ListBullet"/>
      </w:pPr>
      <w:r>
        <w:t>Validate the winner on real ticks: the divergence against OHLC and the out-of-sample retention decide, never in-sample profit.</w:t>
      </w:r>
    </w:p>
    <w:p>
      <w:pPr>
        <w:pStyle w:val="ListBullet"/>
      </w:pPr>
      <w:r>
        <w:t>After the real-tick pass, switch position sizing to Percentage and run again: only promote if it passes too — and that is the mode the set should trade in.</w:t>
      </w:r>
    </w:p>
    <w:p>
      <w:pPr>
        <w:pStyle w:val="ListBullet"/>
      </w:pPr>
      <w:r>
        <w:t>Run chronological in-sample, out-of-sample and forward-demo phases with realistic costs.</w:t>
      </w:r>
    </w:p>
    <w:p>
      <w:pPr>
        <w:pStyle w:val="ListBullet"/>
      </w:pPr>
      <w:r>
        <w:t>For news tests, generate WhiteRabbit_News.csv for the full date range and every required currency.</w:t>
      </w:r>
    </w:p>
    <w:p>
      <w:pPr>
        <w:pStyle w:val="ListBullet"/>
      </w:pPr>
      <w:r>
        <w:t>Run WhiteRabbit Filters SelfTest and proceed only when its final line reports zero failures.</w:t>
      </w:r>
    </w:p>
    <w:p>
      <w:pPr>
        <w:pStyle w:val="ListBullet"/>
      </w:pPr>
      <w:r>
        <w:t>Check Status, RelativePath and SHA256 in the manifest before promoting a result.</w:t>
      </w:r>
    </w:p>
    <w:p>
      <w:pPr>
        <w:pStyle w:val="ListBullet"/>
      </w:pPr>
      <w:r>
        <w:t>USE is explicit authorization for a defined environment; REOPTIMIZE, RESEARCH and HOLD are not live presets.</w:t>
      </w:r>
    </w:p>
    <w:p>
      <w:pPr>
        <w:pStyle w:val="Heading2"/>
      </w:pPr>
      <w:r>
        <w:rPr>
          <w:color w:val="1E3A5F"/>
        </w:rPr>
        <w:t>Cycle-dashboard telemetry</w:t>
      </w:r>
    </w:p>
    <w:p>
      <w:r>
        <w:t>The panel uses the same state snapshots used by position sizing and basket closure.</w:t>
      </w:r>
    </w:p>
    <w:p>
      <w:pPr>
        <w:pStyle w:val="ListBullet"/>
      </w:pPr>
      <w:r>
        <w:t>Periodic tick refresh is capped at once per second; initialization and trade events can request an immediate refresh.</w:t>
      </w:r>
    </w:p>
    <w:p>
      <w:pPr>
        <w:pStyle w:val="ListBullet"/>
      </w:pPr>
      <w:r>
        <w:t>Balance and Equity cover the whole account. Closed P&amp;L is the delta since OnInit, while open P&amp;L and positions are current snapshots; these strategy metrics are filtered by Symbol + Magic.</w:t>
      </w:r>
    </w:p>
    <w:p>
      <w:pPr>
        <w:pStyle w:val="ListBullet"/>
      </w:pPr>
      <w:r>
        <w:t>Martingale reports, independently for BUY and SELL, consecutive losses, cycle loss count and gross amount, recovered value, outstanding deficit and target equal to deficit × Multiplicador.</w:t>
      </w:r>
    </w:p>
    <w:p>
      <w:pPr>
        <w:pStyle w:val="ListBullet"/>
      </w:pPr>
      <w:r>
        <w:t>Exceeding MaxMartingaleSteps performs a hard Martingale reset: the old deficit is discarded and the next order uses the base lot. Martingale permits at most one open position per side.</w:t>
      </w:r>
    </w:p>
    <w:p>
      <w:pPr>
        <w:pStyle w:val="ListBullet"/>
      </w:pPr>
      <w:r>
        <w:t>D'Alembert reports the current level and normalized next lot for BUY and SELL.</w:t>
      </w:r>
    </w:p>
    <w:p>
      <w:pPr>
        <w:pStyle w:val="ListBullet"/>
      </w:pPr>
      <w:r>
        <w:t>Grid reports legs and volume, realized result including costs, open P&amp;L, total cycle P&amp;L, the monetary target frozen at cycle start and the remaining amount.</w:t>
      </w:r>
    </w:p>
    <w:p>
      <w:pPr>
        <w:pStyle w:val="ListBullet"/>
      </w:pPr>
      <w:r>
        <w:t>The Grid anchor is the most recent confirmed position. BUY triggers strictly below anchor − ATR × DistanciaMinima; SELL strictly above anchor + ATR × DistanciaMinima. Progress is adverse distance in ATR versus the threshold.</w:t>
      </w:r>
    </w:p>
    <w:p>
      <w:pPr>
        <w:pStyle w:val="ListBullet"/>
      </w:pPr>
      <w:r>
        <w:t>In Separate mode, becoming flat ends only that side's cycle; in Unified mode, the cycle ends when both BUY and SELL are flat. In-flight managed orders delay the reset.</w:t>
      </w:r>
    </w:p>
    <w:p>
      <w:pPr>
        <w:pStyle w:val="ListBullet"/>
      </w:pPr>
      <w:r>
        <w:t>The target triggers a close request. Actual exit commission, fees and slippage can leave the final result slightly below that target.</w:t>
      </w:r>
    </w:p>
    <w:p>
      <w:pPr>
        <w:pStyle w:val="ListBullet"/>
      </w:pPr>
      <w:r>
        <w:t>InterfaceLanguage preserves 11 UI languages. Auto uses English in the Tester and the terminal language live; a label without a specific translation falls back to English.</w:t>
      </w:r>
    </w:p>
    <w:p>
      <w:pPr>
        <w:pStyle w:val="Heading2"/>
      </w:pPr>
      <w:r>
        <w:rPr>
          <w:color w:val="1E3A5F"/>
        </w:rPr>
        <w:t>Supported combinations and restrictions</w:t>
      </w:r>
    </w:p>
    <w:p>
      <w:r>
        <w:t>These are conservative operating rules for the current architecture. A broker can impose stricter limits, and a successful backtest does not override an incompatible account mode.</w:t>
      </w:r>
    </w:p>
    <w:p>
      <w:pPr>
        <w:pStyle w:val="ListBullet"/>
      </w:pPr>
      <w:r>
        <w:t>PositionSize_Percentage and PositionSize_FixedR require AtivarStop=true and a calculable stop.</w:t>
      </w:r>
    </w:p>
    <w:p>
      <w:pPr>
        <w:pStyle w:val="ListBullet"/>
      </w:pPr>
      <w:r>
        <w:t>Grid supports only PositionSize_Monetary or PositionSize_FixedLot, Recovery_None and a real hedging account.</w:t>
      </w:r>
    </w:p>
    <w:p>
      <w:pPr>
        <w:pStyle w:val="ListBullet"/>
      </w:pPr>
      <w:r>
        <w:t>Grid requires AtivarTake=true, DistanciaMinima&gt;0 and an active side limit of zero or at least two positions.</w:t>
      </w:r>
    </w:p>
    <w:p>
      <w:pPr>
        <w:pStyle w:val="ListBullet"/>
      </w:pPr>
      <w:r>
        <w:t>Grid_SeparateProfit manages each side; Grid_UnifiedProfit manages the aggregate cycle result.</w:t>
      </w:r>
    </w:p>
    <w:p>
      <w:pPr>
        <w:pStyle w:val="ListBullet"/>
      </w:pPr>
      <w:r>
        <w:t>While a basket remains open, its realized losses, swap, commission and fees remain included in the result still required to reach the target; profit from one isolated leg does not erase those costs.</w:t>
      </w:r>
    </w:p>
    <w:p>
      <w:pPr>
        <w:pStyle w:val="ListBullet"/>
      </w:pPr>
      <w:r>
        <w:t>In Grid_SeparateProfit, BUY and SELL have independent cycles. If every position on one side disappears, that side's cycle ends; a later entry starts a new cycle without carrying the closed deficit forward.</w:t>
      </w:r>
    </w:p>
    <w:p>
      <w:pPr>
        <w:pStyle w:val="ListBullet"/>
      </w:pPr>
      <w:r>
        <w:t>Recovery_DAlembert is restricted to Fixed Lot, Grid_Disabled and DAlembertStep&gt;0.</w:t>
      </w:r>
    </w:p>
    <w:p>
      <w:pPr>
        <w:pStyle w:val="ListBullet"/>
      </w:pPr>
      <w:r>
        <w:t>Recovery_Martingale observes MaxMartingaleSteps and MaxMartingaleLot; zero means no additional cap.</w:t>
      </w:r>
    </w:p>
    <w:p>
      <w:pPr>
        <w:pStyle w:val="ListBullet"/>
      </w:pPr>
      <w:r>
        <w:t>ReversalExit_OnOppositeOrder requires a hedging account, Hedging=true, both sides enabled and grid disabled.</w:t>
      </w:r>
    </w:p>
    <w:p>
      <w:pPr>
        <w:pStyle w:val="ListBullet"/>
      </w:pPr>
      <w:r>
        <w:t>News backtests require NewsCSVFile under Common\Files; NewsMoedasManual takes precedence over auto-detection.</w:t>
      </w:r>
    </w:p>
    <w:p>
      <w:pPr>
        <w:pStyle w:val="ListBullet"/>
      </w:pPr>
      <w:r>
        <w:t>Schedules use broker server time; overnight intervals and weekend controls require explicit tests.</w:t>
      </w:r>
    </w:p>
    <w:p>
      <w:pPr>
        <w:pStyle w:val="ListBullet"/>
      </w:pPr>
      <w:r>
        <w:t>Revalidate symbol suffix, contract size, tick value, minimum volume and costs for every broker.</w:t>
      </w:r>
    </w:p>
    <w:p>
      <w:pPr>
        <w:pStyle w:val="Heading2"/>
      </w:pPr>
      <w:r>
        <w:rPr>
          <w:color w:val="1E3A5F"/>
        </w:rPr>
        <w:t>News filter and CSV workflow</w:t>
      </w:r>
    </w:p>
    <w:p>
      <w:r>
        <w:t>Live mode reads the MT5 Economic Calendar in broker-server time and blocks new entries if the calendar query fails. Backtests cannot read that live calendar: run MQL5\Scripts\White Rabbit News Exporter on a live/demo chart, cover the entire test interval, and write NewsCSVFile to the terminal Common\Files folder. The semicolon-delimited header is datetime;currency;importance;event_name, where importance 2 is moderate and 3 is high. Use the same broker/server timezone; for suffixed or non-FX symbols set ExportMoedas and NewsMoedasManual explicitly. Manual currencies take precedence over automatic symbol parsing.</w:t>
      </w:r>
    </w:p>
    <w:p>
      <w:pPr>
        <w:pStyle w:val="Heading2"/>
      </w:pPr>
      <w:r>
        <w:rPr>
          <w:color w:val="1E3A5F"/>
        </w:rPr>
        <w:t>Grid cycle and ATR spacing</w:t>
      </w:r>
    </w:p>
    <w:p>
      <w:r>
        <w:t>Every additional grid leg is measured from the newest already-confirmed position on that side and must satisfy ATR × DistanciaMinima. The initial order cannot recursively trigger another leg in the same calculation event; it becomes the anchor on the following cycle. Individual grid take-profits are disabled: Separate mode evaluates independent BUY/SELL cycles against frozen monetary targets and ends a side when it becomes flat; Unified evaluates the aggregate BUY+SELL basket and ends when both sides are flat. Realized commissions, swap, fees and stopped legs remain in the result while the corresponding cycle is open. The target triggers a close request, so actual exit costs and slippage can leave the final result slightly below it. Live cycle state is persisted across an EA restart. Grid is hedging-only and must be reoptimized after any EA, broker-contract or cost change.</w:t>
      </w:r>
    </w:p>
    <w:p>
      <w:pPr>
        <w:pStyle w:val="Heading2"/>
      </w:pPr>
      <w:r>
        <w:rPr>
          <w:color w:val="1E3A5F"/>
        </w:rPr>
        <w:t>Diagnostics and supplied utilities</w:t>
      </w:r>
    </w:p>
    <w:p>
      <w:r>
        <w:t>The Experts/Journal tab is authoritative for rejected inputs, OrderCheck failures, news-calendar errors and close retries. Compile and run MQL5\Scripts\WhiteRabbit Filters SelfTest; its final line must report zero failures. Use White Rabbit News Exporter to build the test CSV, then verify its date range, currencies, delimiter and Common\Files location before a news-enabled backtest.</w:t>
      </w:r>
    </w:p>
    <w:p>
      <w:pPr>
        <w:pStyle w:val="Heading2"/>
      </w:pPr>
      <w:r>
        <w:rPr>
          <w:color w:val="1E3A5F"/>
        </w:rPr>
        <w:t>Risk warning</w:t>
      </w:r>
    </w:p>
    <w:p>
      <w:r>
        <w:t>No EA, preset, indicator, optimization or historical result guarantees future performance. Validate symbol mapping, costs, execution, out-of-sample data and forward demo behavior before assuming financial risk.</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