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WFO 优化指南</w:t>
      </w:r>
    </w:p>
    <w:p>
      <w:r>
        <w:t>依据当前 EA 源码与 set 清单生成的权威参考 — EA 1.11 — 127 inputs — 3738 sets</w:t>
      </w:r>
    </w:p>
    <w:p>
      <w:r>
        <w:t>注意日期。 启用 WFO 后，OnTester 会将测试的实际结束时间与 input_end_date 比较；如果测试提前结束（容差 80 小时），则返回零。日期设置错误会使所有测试遍次归零，整个优化看起来像是坏掉了。请将 input_end_date 设为与策略测试器中相同的结束日期。</w:t>
      </w:r>
    </w:p>
    <w:p>
      <w:pPr>
        <w:pStyle w:val="Heading2"/>
      </w:pPr>
      <w:r>
        <w:rPr>
          <w:color w:val="1E3A5F"/>
        </w:rPr>
        <w:t>范围与事实来源</w:t>
      </w:r>
    </w:p>
    <w:p>
      <w:r>
        <w:t>EA 源码定义 inputs、默认值、枚举与功能；清单定义每个 set 的状态、路径和 SHA-256。旧 Quantum 资料仅供追溯。</w:t>
      </w:r>
    </w:p>
    <w:p>
      <w:r>
        <w:t>EA SHA-256: D85A30A0836A9BE75F6DFC55868BDC664EE1FC7F5DD0840C029DEB0EF8AC8973. Manifest SHA-256: E96B9E4050F8EA8B764E187BD6CC1E907AE2AE8C4A6489C9EF2D3317C6003F75.</w:t>
      </w:r>
    </w:p>
    <w:p>
      <w:r>
        <w:t>自动生成资料；参数标识符与 EA 完全一致。</w:t>
      </w:r>
    </w:p>
    <w:p>
      <w:pPr>
        <w:pStyle w:val="Heading2"/>
      </w:pPr>
      <w:r>
        <w:rPr>
          <w:color w:val="1E3A5F"/>
        </w:rPr>
        <w:t>Walk-forward 方法</w:t>
      </w:r>
    </w:p>
    <w:p>
      <w:r>
        <w:t>按时间顺序使用 IS、OOS 和 forward demo，并采用真实点差、佣金、swap 与 slippage。</w:t>
      </w:r>
    </w:p>
    <w:p>
      <w:pPr>
        <w:pStyle w:val="Heading2"/>
      </w:pPr>
      <w:r>
        <w:rPr>
          <w:color w:val="1E3A5F"/>
        </w:rPr>
        <w:t>安全流程</w:t>
      </w:r>
    </w:p>
    <w:p>
      <w:r>
        <w:t>每个阶段只改变一个矩阵，并保存完整证据。</w:t>
      </w:r>
    </w:p>
    <w:p>
      <w:pPr>
        <w:pStyle w:val="ListBullet"/>
      </w:pPr>
      <w:r>
        <w:t>确认 EX5、源码、set schema 与清单属于同一版本。</w:t>
      </w:r>
    </w:p>
    <w:p>
      <w:pPr>
        <w:pStyle w:val="ListBullet"/>
      </w:pPr>
      <w:r>
        <w:t>通过 Strategy Tester Inputs 加载 set 库。</w:t>
      </w:r>
    </w:p>
    <w:p>
      <w:pPr>
        <w:pStyle w:val="ListBullet"/>
      </w:pPr>
      <w:r>
        <w:t>映射经纪商的精确品种与 suffix。</w:t>
      </w:r>
    </w:p>
    <w:p>
      <w:pPr>
        <w:pStyle w:val="ListBullet"/>
      </w:pPr>
      <w:r>
        <w:t>按类别和品种浏览：每个品种包含 11 种系统类型（01_SLTP 至 11_SIGNAL_ONLY），每个方向一个 set（BUY/SELL；统一网格为 BOTH），入场有两种变体——MULTI 在单一轴上竞争指标 0–10，ICHIMOKU 有独立文件。</w:t>
      </w:r>
    </w:p>
    <w:p>
      <w:pPr>
        <w:pStyle w:val="ListBullet"/>
      </w:pPr>
      <w:r>
        <w:t>第 1 阶段是区域发现：直接用原样的 set 运行遗传优化——完整的入场组（指标、方法、时间框架、applied price、周期）、系统的出场以及过滤器开关，一次全部打开。</w:t>
      </w:r>
    </w:p>
    <w:p>
      <w:pPr>
        <w:pStyle w:val="ListBullet"/>
      </w:pPr>
      <w:r>
        <w:t>从后续轮次起，锁定（Y→N）上一阶段已决定的“文字型”输入——枚举和布尔值——只保留数值型开放；过滤器的细调只有在其开关存活为开启时才进入。</w:t>
      </w:r>
    </w:p>
    <w:p>
      <w:pPr>
        <w:pStyle w:val="ListBullet"/>
      </w:pPr>
      <w:r>
        <w:t>ATR 入场过滤器（EntradaATR）只存在于网格系统；其他系统中它按设计保持关闭。</w:t>
      </w:r>
    </w:p>
    <w:p>
      <w:pPr>
        <w:pStyle w:val="ListBullet"/>
      </w:pPr>
      <w:r>
        <w:t>用真实 tick 验证胜出者：由与 OHLC 的偏差和样本外保持率决定，绝不是样本内利润。</w:t>
      </w:r>
    </w:p>
    <w:p>
      <w:pPr>
        <w:pStyle w:val="ListBullet"/>
      </w:pPr>
      <w:r>
        <w:t>真实 tick 之后，把仓位模式切换为 Percentage 再跑一次：只有同样通过才晋级——set 最终也应以该模式交易。</w:t>
      </w:r>
    </w:p>
    <w:p>
      <w:pPr>
        <w:pStyle w:val="Heading2"/>
      </w:pPr>
      <w:r>
        <w:rPr>
          <w:color w:val="1E3A5F"/>
        </w:rPr>
        <w:t>清单状态与发布决策</w:t>
      </w:r>
    </w:p>
    <w:p>
      <w:r>
        <w:t>保留原状态，并保守映射为 USE、REOPTIMIZE、RESEARCH 或 HOLD。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系统</w:t>
            </w:r>
          </w:p>
        </w:tc>
        <w:tc>
          <w:tcPr>
            <w:tcW w:type="dxa" w:w="2880"/>
          </w:tcPr>
          <w:p>
            <w:r>
              <w:t>管理方式</w:t>
            </w:r>
          </w:p>
        </w:tc>
        <w:tc>
          <w:tcPr>
            <w:tcW w:type="dxa" w:w="2880"/>
          </w:tcPr>
          <w:p>
            <w:r>
              <w:t>参数集</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ind w:left="360"/>
      </w:pPr>
      <w:r>
        <w:rPr>
          <w:i/>
        </w:rPr>
        <w:t>本节目前仅提供英文版本。</w:t>
      </w:r>
    </w:p>
    <w:p>
      <w:pPr>
        <w:pStyle w:val="Heading2"/>
      </w:pPr>
      <w:r>
        <w:rPr>
          <w:color w:val="1E3A5F"/>
        </w:rPr>
        <w:t>Modeling mode: use real ticks</w:t>
      </w:r>
    </w:p>
    <w:p>
      <w:r>
        <w:t>In the Strategy Tester's Settings tab, Modeling field:</w:t>
      </w:r>
    </w:p>
    <w:p>
      <w:r>
        <w:t>` Every tick based on real ticks   &lt;- use this OHLC 1 minute                    &lt;- only 01_SLTP and 02_SLTP_ORGANIC `</w:t>
      </w:r>
    </w:p>
    <w:p>
      <w:r>
        <w:t>This is not a preference. Measuring the same set in both modes across three years, the OHLC mode understated losses by 3.3x on trailing systems and 23x on grid — always in the optimistic direction. Only fixed SL/TP stayed within 3%.</w:t>
      </w:r>
    </w:p>
    <w:p>
      <w:r>
        <w:t>The cause is structural: trailing and grid depend on when price touched each level inside the bar. OHLC mode interpolates that from four prices per minute and smooths away exactly the adverse excursions that would have closed the position. Optimizing a trailing system on interpolated bars selects parameters that survived a price path which never happened.</w:t>
      </w:r>
    </w:p>
    <w:p>
      <w:r>
        <w:t>Real ticks cost roughly 20x more time per pass. It is worth it: that is the difference between a result and a number.</w:t>
      </w:r>
    </w:p>
    <w:p>
      <w:pPr>
        <w:pStyle w:val="Heading3"/>
      </w:pPr>
      <w:r>
        <w:rPr>
          <w:color w:val="1E3A5F"/>
        </w:rPr>
        <w:t>If you must save time, save it in the right place</w:t>
      </w:r>
    </w:p>
    <w:p>
      <w:r>
        <w:t>Signals are evaluated at BAR CLOSE, so choosing indicator, method or timeframe gives the same entry instant in both modes. Stop, target and trailing, on the other hand, depend on the intrabar path.</w:t>
      </w:r>
    </w:p>
    <w:p>
      <w:r>
        <w:t>So use each model where it is reliable: OHLC to narrow the switches (indicator, method, timeframe, periods) and real ticks for the exit geometry. With the signal locked the search space collapses by orders of magnitude, and real ticks stop being prohibitive.</w:t>
      </w:r>
    </w:p>
    <w:p>
      <w:pPr>
        <w:pStyle w:val="Heading2"/>
      </w:pPr>
      <w:r>
        <w:rPr>
          <w:color w:val="1E3A5F"/>
        </w:rPr>
        <w:t>Fixed-R to research, percentage to trade</w:t>
      </w:r>
    </w:p>
    <w:p>
      <w:r>
        <w:t>Optimize in Fixed-R: with the base capital frozen, passes stay comparable to each other and across symbols. +40R on gold and +40R on EURUSD mean the same thing, while "+3,200 USD" means nothing without knowing the lot and the balance.</w:t>
      </w:r>
    </w:p>
    <w:p>
      <w:r>
        <w:t>Live, Percentage usually makes more sense: it tracks the account, compounds as it grows and cuts exposure as it shrinks — protection Fixed-R cannot give, because it deliberately ignores the running balance. Both modes report in R, so the record stays readable after the switch.</w:t>
      </w:r>
    </w:p>
    <w:p>
      <w:r>
        <w:t>因此，只有在以 Percentage 模式重复最终回测之后，流程才会保存已通过的 set：若结果在复利下无法维持，说明它尚未准备好——通过验证的 set 也以该模式交付。</w:t>
      </w:r>
    </w:p>
    <w:p>
      <w:pPr>
        <w:pStyle w:val="Heading2"/>
      </w:pPr>
      <w:r>
        <w:rPr>
          <w:color w:val="1E3A5F"/>
        </w:rPr>
        <w:t>风险警告</w:t>
      </w:r>
    </w:p>
    <w:p>
      <w:r>
        <w:t>任何 EA、set 或历史结果都不能保证未来表现。必须进行 OOS 与模拟盘验证。</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