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 生态教程</w:t>
      </w:r>
    </w:p>
    <w:p>
      <w:r>
        <w:t>依据当前 EA 源码与 set 清单生成的权威参考 — EA 1.11 — 127 inputs — 3738 sets</w:t>
      </w:r>
    </w:p>
    <w:p>
      <w:pPr>
        <w:pStyle w:val="Heading2"/>
      </w:pPr>
      <w:r>
        <w:rPr>
          <w:color w:val="1E3A5F"/>
        </w:rPr>
        <w:t>范围与事实来源</w:t>
      </w:r>
    </w:p>
    <w:p>
      <w:r>
        <w:t>EA 源码定义 inputs、默认值、枚举与功能；清单定义每个 set 的状态、路径和 SHA-256。旧 Quantum 资料仅供追溯。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自动生成资料；参数标识符与 EA 完全一致。</w:t>
      </w:r>
    </w:p>
    <w:p>
      <w:pPr>
        <w:pStyle w:val="Heading2"/>
      </w:pPr>
      <w:r>
        <w:rPr>
          <w:color w:val="1E3A5F"/>
        </w:rPr>
        <w:t>安装与首次运行</w:t>
      </w:r>
    </w:p>
    <w:p>
      <w:r>
        <w:t>安装匹配的 EX5，在 Tester Inputs 加载一个 set，选择精确的经纪商品种并检查 Journal。</w:t>
      </w:r>
    </w:p>
    <w:p>
      <w:pPr>
        <w:pStyle w:val="Heading2"/>
      </w:pPr>
      <w:r>
        <w:rPr>
          <w:color w:val="1E3A5F"/>
        </w:rPr>
        <w:t>检测到的 set 库</w:t>
      </w:r>
    </w:p>
    <w:p>
      <w:r>
        <w:t>数量从文件系统与清单读取。每个 set 是研究假设，不是收益承诺。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清单状态与发布决策</w:t>
      </w:r>
    </w:p>
    <w:p>
      <w:r>
        <w:t>保留原状态，并保守映射为 USE、REOPTIMIZE、RESEARCH 或 HOLD。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管理方式</w:t>
            </w:r>
          </w:p>
        </w:tc>
        <w:tc>
          <w:tcPr>
            <w:tcW w:type="dxa" w:w="2880"/>
          </w:tcPr>
          <w:p>
            <w:r>
              <w:t>参数集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安全流程</w:t>
      </w:r>
    </w:p>
    <w:p>
      <w:r>
        <w:t>每个阶段只改变一个矩阵，并保存完整证据。</w:t>
      </w:r>
    </w:p>
    <w:p>
      <w:pPr>
        <w:pStyle w:val="ListBullet"/>
      </w:pPr>
      <w:r>
        <w:t>确认 EX5、源码、set schema 与清单属于同一版本。</w:t>
      </w:r>
    </w:p>
    <w:p>
      <w:pPr>
        <w:pStyle w:val="ListBullet"/>
      </w:pPr>
      <w:r>
        <w:t>通过 Strategy Tester Inputs 加载 set 库。</w:t>
      </w:r>
    </w:p>
    <w:p>
      <w:pPr>
        <w:pStyle w:val="ListBullet"/>
      </w:pPr>
      <w:r>
        <w:t>映射经纪商的精确品种与 suffix。</w:t>
      </w:r>
    </w:p>
    <w:p>
      <w:pPr>
        <w:pStyle w:val="ListBullet"/>
      </w:pPr>
      <w:r>
        <w:t>按类别和品种浏览：每个品种包含 11 种系统类型（01_SLTP 至 11_SIGNAL_ONLY），每个方向一个 set（BUY/SELL；统一网格为 BOTH），入场有两种变体——MULTI 在单一轴上竞争指标 0–10，ICHIMOKU 有独立文件。</w:t>
      </w:r>
    </w:p>
    <w:p>
      <w:pPr>
        <w:pStyle w:val="ListBullet"/>
      </w:pPr>
      <w:r>
        <w:t>第 1 阶段是区域发现：直接用原样的 set 运行遗传优化——完整的入场组（指标、方法、时间框架、applied price、周期）、系统的出场以及过滤器开关，一次全部打开。</w:t>
      </w:r>
    </w:p>
    <w:p>
      <w:pPr>
        <w:pStyle w:val="ListBullet"/>
      </w:pPr>
      <w:r>
        <w:t>从后续轮次起，锁定（Y→N）上一阶段已决定的“文字型”输入——枚举和布尔值——只保留数值型开放；过滤器的细调只有在其开关存活为开启时才进入。</w:t>
      </w:r>
    </w:p>
    <w:p>
      <w:pPr>
        <w:pStyle w:val="ListBullet"/>
      </w:pPr>
      <w:r>
        <w:t>ATR 入场过滤器（EntradaATR）只存在于网格系统；其他系统中它按设计保持关闭。</w:t>
      </w:r>
    </w:p>
    <w:p>
      <w:pPr>
        <w:pStyle w:val="ListBullet"/>
      </w:pPr>
      <w:r>
        <w:t>用真实 tick 验证胜出者：由与 OHLC 的偏差和样本外保持率决定，绝不是样本内利润。</w:t>
      </w:r>
    </w:p>
    <w:p>
      <w:pPr>
        <w:pStyle w:val="ListBullet"/>
      </w:pPr>
      <w:r>
        <w:t>真实 tick 之后，把仓位模式切换为 Percentage 再跑一次：只有同样通过才晋级——set 最终也应以该模式交易。</w:t>
      </w:r>
    </w:p>
    <w:p>
      <w:pPr>
        <w:pStyle w:val="Heading2"/>
      </w:pPr>
      <w:r>
        <w:rPr>
          <w:color w:val="1E3A5F"/>
        </w:rPr>
        <w:t>周期仪表板遥测</w:t>
      </w:r>
    </w:p>
    <w:p>
      <w:r>
        <w:t>面板使用与仓位计算和篮子平仓相同的状态快照。</w:t>
      </w:r>
    </w:p>
    <w:p>
      <w:pPr>
        <w:pStyle w:val="ListBullet"/>
      </w:pPr>
      <w:r>
        <w:t>按 tick 的周期刷新最多每秒一次；初始化和交易事件可立即刷新。</w:t>
      </w:r>
    </w:p>
    <w:p>
      <w:pPr>
        <w:pStyle w:val="ListBullet"/>
      </w:pPr>
      <w:r>
        <w:t>Balance/Equity 属于整个账户。Closed P&amp;L 是 OnInit 之后的变化；Open P&amp;L 与 positions 是当前状态，并按 Symbol + Magic 过滤。</w:t>
      </w:r>
    </w:p>
    <w:p>
      <w:pPr>
        <w:pStyle w:val="ListBullet"/>
      </w:pPr>
      <w:r>
        <w:t>Martingale 分别显示 BUY/SELL 连续亏损、周期亏损次数与总额、已恢复金额、剩余 deficit，以及 deficit × Multiplicador 的 target。</w:t>
      </w:r>
    </w:p>
    <w:p>
      <w:pPr>
        <w:pStyle w:val="ListBullet"/>
      </w:pPr>
      <w:r>
        <w:t>超过 MaxMartingaleSteps 会 hard reset：旧 deficit 被丢弃，下一单使用基础手数；每个方向最多允许一笔持仓。</w:t>
      </w:r>
    </w:p>
    <w:p>
      <w:pPr>
        <w:pStyle w:val="ListBullet"/>
      </w:pPr>
      <w:r>
        <w:t>D'Alembert 显示 BUY/SELL 当前级别与下一笔规范化手数。</w:t>
      </w:r>
    </w:p>
    <w:p>
      <w:pPr>
        <w:pStyle w:val="ListBullet"/>
      </w:pPr>
      <w:r>
        <w:t>Grid 显示 legs/volume、包含成本的 realized、open P&amp;L、cycle P&amp;L、周期开始时冻结的 target 与 remaining。</w:t>
      </w:r>
    </w:p>
    <w:p>
      <w:pPr>
        <w:pStyle w:val="ListBullet"/>
      </w:pPr>
      <w:r>
        <w:t>Anchor 是最近确认的持仓。BUY 必须严格低于 anchor − ATR × DistanciaMinima；SELL 必须严格高于 anchor + ATR × DistanciaMinima；进度以 ATR 表示。</w:t>
      </w:r>
    </w:p>
    <w:p>
      <w:pPr>
        <w:pStyle w:val="ListBullet"/>
      </w:pPr>
      <w:r>
        <w:t>Separate 在某一方向 flat 时仅结束该方向周期；Unified 在 BUY/SELL 都 flat 时结束。未完成订单会延后 reset。</w:t>
      </w:r>
    </w:p>
    <w:p>
      <w:pPr>
        <w:pStyle w:val="ListBullet"/>
      </w:pPr>
      <w:r>
        <w:t>Target 只触发平仓请求；实际退出 commission、fee 与 slippage 可能使最终结果略低于目标。</w:t>
      </w:r>
    </w:p>
    <w:p>
      <w:pPr>
        <w:pStyle w:val="ListBullet"/>
      </w:pPr>
      <w:r>
        <w:t>InterfaceLanguage 保留 11 种界面语言。Auto 在 Tester 使用 English、实盘使用终端语言；缺少翻译的标签回退为 English。</w:t>
      </w:r>
    </w:p>
    <w:p>
      <w:pPr>
        <w:pStyle w:val="Heading2"/>
      </w:pPr>
      <w:r>
        <w:rPr>
          <w:color w:val="1E3A5F"/>
        </w:rPr>
        <w:t>兼容组合与限制</w:t>
      </w:r>
    </w:p>
    <w:p>
      <w:r>
        <w:t>这些是保守规则；经纪商可能实施更严格限制。</w:t>
      </w:r>
    </w:p>
    <w:p>
      <w:pPr>
        <w:pStyle w:val="ListBullet"/>
      </w:pPr>
      <w:r>
        <w:t>Percentage 与 Fixed-R 需要 AtivarStop=true。</w:t>
      </w:r>
    </w:p>
    <w:p>
      <w:pPr>
        <w:pStyle w:val="ListBullet"/>
      </w:pPr>
      <w:r>
        <w:t>Grid 仅支持 Monetary/Fixed Lot、Recovery_None 与 hedging account。</w:t>
      </w:r>
    </w:p>
    <w:p>
      <w:pPr>
        <w:pStyle w:val="ListBullet"/>
      </w:pPr>
      <w:r>
        <w:t>Grid 需要 take、正 DistanciaMinima 以及活动方向至少两笔上限。</w:t>
      </w:r>
    </w:p>
    <w:p>
      <w:pPr>
        <w:pStyle w:val="ListBullet"/>
      </w:pPr>
      <w:r>
        <w:t>只要篮子仍有持仓，本周期已实现亏损、swap、commission 与 fees 就继续计入达到目标所需的结果；单独一腿盈利不会清除这些成本。</w:t>
      </w:r>
    </w:p>
    <w:p>
      <w:pPr>
        <w:pStyle w:val="ListBullet"/>
      </w:pPr>
      <w:r>
        <w:t>在 Grid_SeparateProfit 中 BUY 与 SELL 周期独立。某一方向全部持仓消失时，该方向周期结束；之后的入场开启新周期，不继承已结束的亏损。</w:t>
      </w:r>
    </w:p>
    <w:p>
      <w:pPr>
        <w:pStyle w:val="ListBullet"/>
      </w:pPr>
      <w:r>
        <w:t>D'Alembert 仅限 Fixed Lot、Grid_Disabled、DAlembertStep&gt;0。</w:t>
      </w:r>
    </w:p>
    <w:p>
      <w:pPr>
        <w:pStyle w:val="ListBullet"/>
      </w:pPr>
      <w:r>
        <w:t>Martingale 受 MaxMartingaleSteps 与 MaxMartingaleLot 限制。</w:t>
      </w:r>
    </w:p>
    <w:p>
      <w:pPr>
        <w:pStyle w:val="ListBullet"/>
      </w:pPr>
      <w:r>
        <w:t>OnOppositeOrder 需要 hedging、双向交易且关闭 grid。</w:t>
      </w:r>
    </w:p>
    <w:p>
      <w:pPr>
        <w:pStyle w:val="ListBullet"/>
      </w:pPr>
      <w:r>
        <w:t>新闻回测需要 Common\Files 中的 CSV。</w:t>
      </w:r>
    </w:p>
    <w:p>
      <w:pPr>
        <w:pStyle w:val="ListBullet"/>
      </w:pPr>
      <w:r>
        <w:t>时段使用经纪商服务器时间。</w:t>
      </w:r>
    </w:p>
    <w:p>
      <w:pPr>
        <w:pStyle w:val="ListBullet"/>
      </w:pPr>
      <w:r>
        <w:t>每个经纪商都要重新核对 suffix 与品种规格。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风险警告</w:t>
      </w:r>
    </w:p>
    <w:p>
      <w:r>
        <w:t>任何 EA、set 或历史结果都不能保证未来表现。必须进行 OOS 与模拟盘验证。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