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Guía de optimización WFO</w:t>
      </w:r>
    </w:p>
    <w:p>
      <w:r>
        <w:t>Referencia autoritativa generada desde la fuente actual y el manifiesto de sets — EA 1.11 — 127 inputs — 3738 sets</w:t>
      </w:r>
    </w:p>
    <w:p>
      <w:r>
        <w:t>Atención a la fecha. Con el WFO activado, OnTester compara el final real de la prueba con input_end_date y devuelve cero si la prueba terminó antes (tolerancia de 80 horas). Una fecha equivocada pone a cero todas las pasadas y toda la optimización parece rota. Ajuste input_end_date a la misma fecha final configurada en el Probador de Estrategias.</w:t>
      </w:r>
    </w:p>
    <w:p>
      <w:pPr>
        <w:pStyle w:val="Heading2"/>
      </w:pPr>
      <w:r>
        <w:rPr>
          <w:color w:val="1E3A5F"/>
        </w:rPr>
        <w:t>Alcance y fuentes de verdad</w:t>
      </w:r>
    </w:p>
    <w:p>
      <w:r>
        <w:t>La fuente define inputs, valores y funciones; el manifiesto define cada set, estado, ruta y SHA-256. El archivo Quantum antiguo es solo histórico.</w:t>
      </w:r>
    </w:p>
    <w:p>
      <w:r>
        <w:t>EA SHA-256: D85A30A0836A9BE75F6DFC55868BDC664EE1FC7F5DD0840C029DEB0EF8AC8973. Manifest SHA-256: E96B9E4050F8EA8B764E187BD6CC1E907AE2AE8C4A6489C9EF2D3317C6003F75.</w:t>
      </w:r>
    </w:p>
    <w:p>
      <w:r>
        <w:t>Material generado; los identificadores coinciden exactamente con la EA.</w:t>
      </w:r>
    </w:p>
    <w:p>
      <w:pPr>
        <w:pStyle w:val="Heading2"/>
      </w:pPr>
      <w:r>
        <w:rPr>
          <w:color w:val="1E3A5F"/>
        </w:rPr>
        <w:t>Método walk-forward</w:t>
      </w:r>
    </w:p>
    <w:p>
      <w:r>
        <w:t>Use IS, OOS y forward demo cronológicos con spread, comisión, swap y slippage realistas.</w:t>
      </w:r>
    </w:p>
    <w:p>
      <w:pPr>
        <w:pStyle w:val="Heading2"/>
      </w:pPr>
      <w:r>
        <w:rPr>
          <w:color w:val="1E3A5F"/>
        </w:rPr>
        <w:t>Flujo seguro</w:t>
      </w:r>
    </w:p>
    <w:p>
      <w:r>
        <w:t>Cambie una sola matriz por etapa y conserve la evidencia.</w:t>
      </w:r>
    </w:p>
    <w:p>
      <w:pPr>
        <w:pStyle w:val="ListBullet"/>
      </w:pPr>
      <w:r>
        <w:t>Confirme que EX5, fuente, esquema y manifiesto son de la misma versión.</w:t>
      </w:r>
    </w:p>
    <w:p>
      <w:pPr>
        <w:pStyle w:val="ListBullet"/>
      </w:pPr>
      <w:r>
        <w:t>Cargue la biblioteca mediante Strategy Tester Inputs.</w:t>
      </w:r>
    </w:p>
    <w:p>
      <w:pPr>
        <w:pStyle w:val="ListBullet"/>
      </w:pPr>
      <w:r>
        <w:t>Mapee el símbolo y suffix exactos del bróker.</w:t>
      </w:r>
    </w:p>
    <w:p>
      <w:pPr>
        <w:pStyle w:val="ListBullet"/>
      </w:pPr>
      <w:r>
        <w:t>Navegue por clase y activo: cada activo trae los 11 tipos de sistema (01_SLTP a 11_SIGNAL_ONLY), un set por lado (BUY/SELL; BOTH en el grid unificado) y dos variantes de entrada — MULTI disputa los indicadores 0–10 en un solo eje, ICHIMOKU tiene archivo propio.</w:t>
      </w:r>
    </w:p>
    <w:p>
      <w:pPr>
        <w:pStyle w:val="ListBullet"/>
      </w:pPr>
      <w:r>
        <w:t>La fase 1 es descubrimiento de regiones: ejecute el genetico con el set tal cual — grupo de entrada completo (indicador, metodo, timeframe, applied price, periodos), salidas del sistema y llaves de filtro, todo a la vez.</w:t>
      </w:r>
    </w:p>
    <w:p>
      <w:pPr>
        <w:pStyle w:val="ListBullet"/>
      </w:pPr>
      <w:r>
        <w:t>De las rondas siguientes en adelante, bloquee (Y→N) los inputs de escritura — enums y booleanos — decididos por la fase anterior y deje abiertos solo los numericos; el ajuste de cada filtro solo entra si su llave sobrevivio encendida.</w:t>
      </w:r>
    </w:p>
    <w:p>
      <w:pPr>
        <w:pStyle w:val="ListBullet"/>
      </w:pPr>
      <w:r>
        <w:t>El filtro ATR de entrada (EntradaATR) existe solo en los sistemas de grid; en los demas permanece apagado por diseño.</w:t>
      </w:r>
    </w:p>
    <w:p>
      <w:pPr>
        <w:pStyle w:val="ListBullet"/>
      </w:pPr>
      <w:r>
        <w:t>Valide al ganador en ticks reales: deciden la divergencia contra OHLC y la retencion out-of-sample, nunca la ganancia in-sample.</w:t>
      </w:r>
    </w:p>
    <w:p>
      <w:pPr>
        <w:pStyle w:val="ListBullet"/>
      </w:pPr>
      <w:r>
        <w:t>Tras el tick real, cambie el dimensionamiento a Percentage y ejecute de nuevo: solo promueva si tambien pasa — y ese es el modo en que el set debe operar.</w:t>
      </w:r>
    </w:p>
    <w:p>
      <w:pPr>
        <w:pStyle w:val="Heading2"/>
      </w:pPr>
      <w:r>
        <w:rPr>
          <w:color w:val="1E3A5F"/>
        </w:rPr>
        <w:t>Estados y decisión</w:t>
      </w:r>
    </w:p>
    <w:p>
      <w:r>
        <w:t>Se conserva el estado exacto y se mapea de forma conservadora a USE, REOPTIMIZE, RESEARCH o 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Sistema</w:t>
            </w:r>
          </w:p>
        </w:tc>
        <w:tc>
          <w:tcPr>
            <w:tcW w:type="dxa" w:w="2880"/>
          </w:tcPr>
          <w:p>
            <w:r>
              <w:t>Gestión</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Esta sección todavía está disponible solo en inglés.</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Por eso el circuito solo guarda un set aprobado tras repetir el pase final en modo Percentage: si el resultado no se sostiene bajo interes compuesto, no estaba listo — y el set validado se entrega en ese modo.</w:t>
      </w:r>
    </w:p>
    <w:p>
      <w:pPr>
        <w:pStyle w:val="Heading2"/>
      </w:pPr>
      <w:r>
        <w:rPr>
          <w:color w:val="1E3A5F"/>
        </w:rPr>
        <w:t>Aviso de riesgo</w:t>
      </w:r>
    </w:p>
    <w:p>
      <w:r>
        <w:t>Ninguna EA, set ni resultado histórico garantiza el futuro. Valide OOS y en demo.</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