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WFO-Optimierungsleitfaden</w:t>
      </w:r>
    </w:p>
    <w:p>
      <w:r>
        <w:t>Verbindliche Referenz aus aktuellem EA-Quelltext und Set-Manifest — EA 1.11 — 127 inputs — 3738 sets</w:t>
      </w:r>
    </w:p>
    <w:p>
      <w:r>
        <w:t>Auf das Datum achten. Bei aktiviertem WFO vergleicht OnTester das tatsächliche Testende mit input_end_date und liefert null zurück, wenn der Test früher endete (Toleranz 80 Stunden). Ein falsches Datum setzt jeden Durchlauf auf null und die gesamte Optimierung wirkt defekt. Setzen Sie input_end_date auf dasselbe Enddatum, das im Strategietester konfiguriert ist.</w:t>
      </w:r>
    </w:p>
    <w:p>
      <w:pPr>
        <w:pStyle w:val="Heading2"/>
      </w:pPr>
      <w:r>
        <w:rPr>
          <w:color w:val="1E3A5F"/>
        </w:rPr>
        <w:t>Umfang und Wahrheitsquellen</w:t>
      </w:r>
    </w:p>
    <w:p>
      <w:r>
        <w:t>Der EA-Quelltext definiert Inputs, Defaults und Funktionen; das Manifest jedes Set, Status, Pfad und SHA-256. Das alte Quantum-Archiv ist nur historisch.</w:t>
      </w:r>
    </w:p>
    <w:p>
      <w:r>
        <w:t>EA SHA-256: D85A30A0836A9BE75F6DFC55868BDC664EE1FC7F5DD0840C029DEB0EF8AC8973. Manifest SHA-256: E96B9E4050F8EA8B764E187BD6CC1E907AE2AE8C4A6489C9EF2D3317C6003F75.</w:t>
      </w:r>
    </w:p>
    <w:p>
      <w:r>
        <w:t>Generiertes Material; Parameternamen entsprechen exakt dem EA.</w:t>
      </w:r>
    </w:p>
    <w:p>
      <w:pPr>
        <w:pStyle w:val="Heading2"/>
      </w:pPr>
      <w:r>
        <w:rPr>
          <w:color w:val="1E3A5F"/>
        </w:rPr>
        <w:t>Walk-forward-Methode</w:t>
      </w:r>
    </w:p>
    <w:p>
      <w:r>
        <w:t>Chronologische IS-, OOS- und Forward-Demo-Phasen mit realistischem Spread, Provision, Swap und Slippage.</w:t>
      </w:r>
    </w:p>
    <w:p>
      <w:pPr>
        <w:pStyle w:val="Heading2"/>
      </w:pPr>
      <w:r>
        <w:rPr>
          <w:color w:val="1E3A5F"/>
        </w:rPr>
        <w:t>Sicherer Ablauf</w:t>
      </w:r>
    </w:p>
    <w:p>
      <w:r>
        <w:t>Pro Stufe nur eine Matrix ändern und Nachweise aufbewahren.</w:t>
      </w:r>
    </w:p>
    <w:p>
      <w:pPr>
        <w:pStyle w:val="ListBullet"/>
      </w:pPr>
      <w:r>
        <w:t>Version von EX5, Quelle, Set-Schema und Manifest abgleichen.</w:t>
      </w:r>
    </w:p>
    <w:p>
      <w:pPr>
        <w:pStyle w:val="ListBullet"/>
      </w:pPr>
      <w:r>
        <w:t>Bibliothek über Strategy Tester Inputs laden.</w:t>
      </w:r>
    </w:p>
    <w:p>
      <w:pPr>
        <w:pStyle w:val="ListBullet"/>
      </w:pPr>
      <w:r>
        <w:t>Exaktes Brokersymbol und Suffix zuordnen.</w:t>
      </w:r>
    </w:p>
    <w:p>
      <w:pPr>
        <w:pStyle w:val="ListBullet"/>
      </w:pPr>
      <w:r>
        <w:t>Navigieren Sie nach Klasse und Asset: Jedes Asset umfasst die 11 Systemtypen (01_SLTP bis 11_SIGNAL_ONLY), einen Set pro Seite (BUY/SELL; BOTH beim vereinigten Grid) und zwei Einstiegsvarianten — MULTI lässt die Indikatoren 0–10 auf einer Achse antreten, ICHIMOKU hat eine eigene Datei.</w:t>
      </w:r>
    </w:p>
    <w:p>
      <w:pPr>
        <w:pStyle w:val="ListBullet"/>
      </w:pPr>
      <w:r>
        <w:t>Phase 1 ist Regionssuche: Starten Sie die genetische Optimierung mit dem Set wie geliefert — komplette Einstiegsgruppe (Indikator, Methode, Timeframe, applied price, Perioden), die Ausstiege des Systems und die Filterschalter, alles auf einmal.</w:t>
      </w:r>
    </w:p>
    <w:p>
      <w:pPr>
        <w:pStyle w:val="ListBullet"/>
      </w:pPr>
      <w:r>
        <w:t>Ab den folgenden Runden sperren Sie (Y→N) die »Schrift«-Inputs — Enums und Booleans — aus der Vorphase und lassen nur die numerischen offen; die Feinabstimmung eines Filters kommt nur hinein, wenn sein Schalter eingeschaltet überlebt hat.</w:t>
      </w:r>
    </w:p>
    <w:p>
      <w:pPr>
        <w:pStyle w:val="ListBullet"/>
      </w:pPr>
      <w:r>
        <w:t>Der ATR-Einstiegsfilter (EntradaATR) existiert nur in den Grid-Systemen; überall sonst bleibt er konstruktionsbedingt aus.</w:t>
      </w:r>
    </w:p>
    <w:p>
      <w:pPr>
        <w:pStyle w:val="ListBullet"/>
      </w:pPr>
      <w:r>
        <w:t>Validieren Sie den Gewinner mit echten Ticks: Es entscheiden die Divergenz gegen OHLC und die Out-of-Sample-Retention, nie der In-Sample-Gewinn.</w:t>
      </w:r>
    </w:p>
    <w:p>
      <w:pPr>
        <w:pStyle w:val="ListBullet"/>
      </w:pPr>
      <w:r>
        <w:t>Nach dem Echt-Tick-Lauf stellen Sie die Positionsgröße auf Percentage um und testen erneut: Nur bei Bestehen befördern — und genau in diesem Modus soll der Set handeln.</w:t>
      </w:r>
    </w:p>
    <w:p>
      <w:pPr>
        <w:pStyle w:val="Heading2"/>
      </w:pPr>
      <w:r>
        <w:rPr>
          <w:color w:val="1E3A5F"/>
        </w:rPr>
        <w:t>Manifeststatus und Entscheidung</w:t>
      </w:r>
    </w:p>
    <w:p>
      <w:r>
        <w:t>Der Originalstatus bleibt erhalten und wird konservativ auf USE, REOPTIMIZE, RESEARCH oder HOLD abgebildet.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System</w:t>
            </w:r>
          </w:p>
        </w:tc>
        <w:tc>
          <w:tcPr>
            <w:tcW w:type="dxa" w:w="2880"/>
          </w:tcPr>
          <w:p>
            <w:r>
              <w:t>Management</w:t>
            </w:r>
          </w:p>
        </w:tc>
        <w:tc>
          <w:tcPr>
            <w:tcW w:type="dxa" w:w="2880"/>
          </w:tcPr>
          <w:p>
            <w:r>
              <w:t>Sets</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ind w:left="360"/>
      </w:pPr>
      <w:r>
        <w:rPr>
          <w:i/>
        </w:rPr>
        <w:t>Dieser Abschnitt ist derzeit nur auf Englisch verfügbar.</w:t>
      </w:r>
    </w:p>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r>
        <w:t>Deshalb speichert der Ablauf einen genehmigten Set erst, nachdem der finale Lauf im Percentage-Modus wiederholt wurde: Hält das Ergebnis dem Zinseszins nicht stand, war es nicht reif — und der validierte Set wird in genau diesem Modus ausgeliefert.</w:t>
      </w:r>
    </w:p>
    <w:p>
      <w:pPr>
        <w:pStyle w:val="Heading2"/>
      </w:pPr>
      <w:r>
        <w:rPr>
          <w:color w:val="1E3A5F"/>
        </w:rPr>
        <w:t>Risikohinweis</w:t>
      </w:r>
    </w:p>
    <w:p>
      <w:r>
        <w:t>EA, Set und historische Ergebnisse garantieren keine Zukunft. OOS und Demo validieren.</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